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0E4E1402"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0E4E1402"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0E4E1402"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tcMar/>
            <w:vAlign w:val="center"/>
          </w:tcPr>
          <w:p w:rsidR="00093CA9" w:rsidP="00093CA9" w:rsidRDefault="0068420A" w14:paraId="4F9450A3" w14:textId="4FA97DE0">
            <w:proofErr w:type="spellStart"/>
            <w:r>
              <w:t>Blomstein</w:t>
            </w:r>
            <w:proofErr w:type="spellEnd"/>
          </w:p>
        </w:tc>
      </w:tr>
      <w:tr w:rsidR="00093CA9" w:rsidTr="0E4E1402"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0E4E1402" w14:paraId="213ED751" w14:textId="77777777">
        <w:trPr>
          <w:trHeight w:val="533"/>
        </w:trPr>
        <w:tc>
          <w:tcPr>
            <w:tcW w:w="1063" w:type="dxa"/>
            <w:tcMar/>
            <w:vAlign w:val="center"/>
          </w:tcPr>
          <w:p w:rsidR="00093CA9" w:rsidP="00093CA9" w:rsidRDefault="00093CA9" w14:paraId="12C9C9CE" w14:textId="77777777"/>
        </w:tc>
        <w:tc>
          <w:tcPr>
            <w:tcW w:w="9169" w:type="dxa"/>
            <w:gridSpan w:val="4"/>
            <w:tcMar/>
            <w:vAlign w:val="center"/>
          </w:tcPr>
          <w:p w:rsidR="00093CA9" w:rsidP="00093CA9" w:rsidRDefault="006840CD" w14:paraId="624F8F71" w14:textId="5091F3C3">
            <w:r>
              <w:t>EU</w:t>
            </w:r>
          </w:p>
        </w:tc>
      </w:tr>
      <w:tr w:rsidRPr="00E50B13" w:rsidR="00093CA9" w:rsidTr="0E4E1402"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E4E1402" w14:paraId="28ED661B" w14:textId="77777777">
        <w:trPr>
          <w:trHeight w:val="533"/>
        </w:trPr>
        <w:tc>
          <w:tcPr>
            <w:tcW w:w="1063" w:type="dxa"/>
            <w:tcMar/>
            <w:vAlign w:val="center"/>
          </w:tcPr>
          <w:p w:rsidR="00093CA9" w:rsidP="00093CA9" w:rsidRDefault="00093CA9" w14:paraId="59627549" w14:textId="77777777"/>
        </w:tc>
        <w:tc>
          <w:tcPr>
            <w:tcW w:w="9169" w:type="dxa"/>
            <w:gridSpan w:val="4"/>
            <w:tcMar/>
            <w:vAlign w:val="center"/>
          </w:tcPr>
          <w:p w:rsidR="00093CA9" w:rsidP="00093CA9" w:rsidRDefault="00697298" w14:paraId="313A697B" w14:textId="2BF83172">
            <w:r w:rsidRPr="00697298">
              <w:t>Regulation (EU) 2023/1805 of the European Parliament and of the Council of 13 September 2023 on the use of renewable and low-carbon fuels in maritime transport, and amending Directive 2009/16/EC (</w:t>
            </w:r>
            <w:proofErr w:type="spellStart"/>
            <w:r w:rsidRPr="00697298">
              <w:t>FuelEU</w:t>
            </w:r>
            <w:proofErr w:type="spellEnd"/>
            <w:r w:rsidRPr="00697298">
              <w:t xml:space="preserve"> Maritime Regulation) </w:t>
            </w:r>
          </w:p>
        </w:tc>
      </w:tr>
      <w:tr w:rsidR="00093CA9" w:rsidTr="0E4E1402"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E4E1402" w14:paraId="17DDB4EF" w14:textId="77777777">
        <w:trPr>
          <w:trHeight w:val="1021"/>
        </w:trPr>
        <w:tc>
          <w:tcPr>
            <w:tcW w:w="1063" w:type="dxa"/>
            <w:tcMar/>
            <w:vAlign w:val="center"/>
          </w:tcPr>
          <w:p w:rsidR="00093CA9" w:rsidP="00093CA9" w:rsidRDefault="00093CA9" w14:paraId="04C859A5" w14:textId="77777777"/>
        </w:tc>
        <w:tc>
          <w:tcPr>
            <w:tcW w:w="9169" w:type="dxa"/>
            <w:gridSpan w:val="4"/>
            <w:tcMar/>
            <w:vAlign w:val="center"/>
          </w:tcPr>
          <w:p w:rsidR="00093CA9" w:rsidP="00093CA9" w:rsidRDefault="001868EA" w14:paraId="1523C232" w14:textId="7FC4A8F2">
            <w:hyperlink w:history="1" r:id="rId17">
              <w:r w:rsidRPr="00AE7BAC">
                <w:rPr>
                  <w:rStyle w:val="Hyperlink"/>
                </w:rPr>
                <w:t>https://web.archive.org/web/20250724102733/https://eur-lex.europa.eu/eli/reg/2023/1805/oj/eng</w:t>
              </w:r>
            </w:hyperlink>
            <w:r>
              <w:t xml:space="preserve"> </w:t>
            </w:r>
          </w:p>
        </w:tc>
      </w:tr>
      <w:tr w:rsidRPr="005A2023" w:rsidR="00093CA9" w:rsidTr="0E4E1402"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E4E1402"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tcMar/>
            <w:vAlign w:val="center"/>
          </w:tcPr>
          <w:p w:rsidR="00093CA9" w:rsidP="00093CA9" w:rsidRDefault="00093CA9" w14:paraId="4E49657F" w14:textId="37C98B62"/>
        </w:tc>
      </w:tr>
      <w:tr w:rsidR="00093CA9" w:rsidTr="0E4E1402"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tcMar/>
            <w:vAlign w:val="center"/>
          </w:tcPr>
          <w:p w:rsidR="00093CA9" w:rsidP="00093CA9" w:rsidRDefault="00697298" w14:paraId="14F96ECD" w14:textId="5E0AD2D1">
            <w:r>
              <w:t>X</w:t>
            </w:r>
          </w:p>
        </w:tc>
      </w:tr>
      <w:tr w:rsidR="00093CA9" w:rsidTr="0E4E1402"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tcMar/>
            <w:vAlign w:val="center"/>
          </w:tcPr>
          <w:p w:rsidR="00093CA9" w:rsidP="00093CA9" w:rsidRDefault="00093CA9" w14:paraId="49932434" w14:textId="0F70BC81"/>
        </w:tc>
      </w:tr>
      <w:tr w:rsidR="00093CA9" w:rsidTr="0E4E1402"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tcMar/>
            <w:vAlign w:val="center"/>
          </w:tcPr>
          <w:p w:rsidR="00093CA9" w:rsidP="00093CA9" w:rsidRDefault="00093CA9" w14:paraId="676670DF" w14:textId="225D4869"/>
        </w:tc>
      </w:tr>
      <w:tr w:rsidR="00093CA9" w:rsidTr="0E4E1402"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tcMar/>
            <w:vAlign w:val="center"/>
          </w:tcPr>
          <w:p w:rsidR="00093CA9" w:rsidP="00093CA9" w:rsidRDefault="00093CA9" w14:paraId="0A5E7122" w14:textId="0480D8D3"/>
        </w:tc>
      </w:tr>
      <w:tr w:rsidR="00093CA9" w:rsidTr="0E4E1402"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tcMar/>
            <w:vAlign w:val="center"/>
          </w:tcPr>
          <w:p w:rsidR="00093CA9" w:rsidP="00093CA9" w:rsidRDefault="00093CA9" w14:paraId="791241EA" w14:textId="77777777"/>
        </w:tc>
      </w:tr>
      <w:tr w:rsidR="00093CA9" w:rsidTr="0E4E1402"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0E4E1402" w14:paraId="707EB905" w14:textId="77777777">
        <w:trPr>
          <w:trHeight w:val="533"/>
        </w:trPr>
        <w:tc>
          <w:tcPr>
            <w:tcW w:w="1063" w:type="dxa"/>
            <w:tcMar/>
            <w:vAlign w:val="center"/>
          </w:tcPr>
          <w:p w:rsidR="00093CA9" w:rsidP="00093CA9" w:rsidRDefault="00093CA9" w14:paraId="3C6209F9" w14:textId="77777777"/>
        </w:tc>
        <w:tc>
          <w:tcPr>
            <w:tcW w:w="9169" w:type="dxa"/>
            <w:gridSpan w:val="4"/>
            <w:tcMar/>
            <w:vAlign w:val="center"/>
          </w:tcPr>
          <w:p w:rsidR="00093CA9" w:rsidP="00093CA9" w:rsidRDefault="006B51AD" w14:paraId="01A208D3" w14:textId="77777777">
            <w:r w:rsidRPr="006B51AD">
              <w:t>Th</w:t>
            </w:r>
            <w:r>
              <w:t>is</w:t>
            </w:r>
            <w:r w:rsidRPr="006B51AD">
              <w:t xml:space="preserve"> policy tool</w:t>
            </w:r>
            <w:r>
              <w:t xml:space="preserve">, </w:t>
            </w:r>
            <w:r w:rsidRPr="006B51AD">
              <w:t xml:space="preserve">sometimes colloquially referred to as the </w:t>
            </w:r>
            <w:proofErr w:type="spellStart"/>
            <w:r w:rsidRPr="006B51AD">
              <w:t>FuelEU</w:t>
            </w:r>
            <w:proofErr w:type="spellEnd"/>
            <w:r w:rsidRPr="006B51AD">
              <w:t xml:space="preserve"> Maritime Regulation</w:t>
            </w:r>
            <w:r>
              <w:t xml:space="preserve">, </w:t>
            </w:r>
            <w:r w:rsidRPr="006B51AD">
              <w:t xml:space="preserve">aims to decarbonise maritime transport in line with the EU’s 2050 climate neutrality target. It sets binding limits on the greenhouse gas (GHG) intensity of energy used on ships and mandates the use of </w:t>
            </w:r>
            <w:proofErr w:type="gramStart"/>
            <w:r w:rsidRPr="006B51AD">
              <w:t>on-shore</w:t>
            </w:r>
            <w:proofErr w:type="gramEnd"/>
            <w:r w:rsidRPr="006B51AD">
              <w:t xml:space="preserve"> power supply (OPS) at berth.</w:t>
            </w:r>
          </w:p>
          <w:p w:rsidR="000A653C" w:rsidP="00093CA9" w:rsidRDefault="000A653C" w14:paraId="12C65124" w14:textId="77777777">
            <w:r w:rsidRPr="000A653C">
              <w:t>The Regulation is a core transition planning tool</w:t>
            </w:r>
            <w:r>
              <w:t xml:space="preserve"> as </w:t>
            </w:r>
            <w:r w:rsidRPr="000A653C">
              <w:t>it requires entities to implement decarbonisation targets over time, not merely disclose them.</w:t>
            </w:r>
            <w:r w:rsidR="00722B14">
              <w:t xml:space="preserve"> Key features include:</w:t>
            </w:r>
          </w:p>
          <w:p w:rsidRPr="00722B14" w:rsidR="00722B14" w:rsidP="0E4E1402" w:rsidRDefault="00722B14" w14:paraId="7E4E8107" w14:textId="30A389D0" w14:noSpellErr="1">
            <w:pPr>
              <w:rPr>
                <w:lang w:val="en-GB"/>
              </w:rPr>
            </w:pPr>
            <w:r w:rsidRPr="0E4E1402" w:rsidR="00722B14">
              <w:rPr>
                <w:lang w:val="en-GB"/>
              </w:rPr>
              <w:t xml:space="preserve">- </w:t>
            </w:r>
            <w:r w:rsidRPr="0E4E1402" w:rsidR="00722B14">
              <w:rPr>
                <w:lang w:val="en-GB"/>
              </w:rPr>
              <w:t>A declining GHG intensity limit from 2025 to 2050 (Annex I</w:t>
            </w:r>
            <w:r w:rsidRPr="0E4E1402" w:rsidR="00722B14">
              <w:rPr>
                <w:lang w:val="en-GB"/>
              </w:rPr>
              <w:t>)</w:t>
            </w:r>
            <w:r w:rsidRPr="0E4E1402" w:rsidR="00722B14">
              <w:rPr>
                <w:lang w:val="en-GB"/>
              </w:rPr>
              <w:t>;</w:t>
            </w:r>
          </w:p>
          <w:p w:rsidRPr="00722B14" w:rsidR="00722B14" w:rsidP="0E4E1402" w:rsidRDefault="00722B14" w14:paraId="24B8DB70" w14:textId="260A871A" w14:noSpellErr="1">
            <w:pPr>
              <w:rPr>
                <w:lang w:val="en-GB"/>
              </w:rPr>
            </w:pPr>
            <w:r w:rsidRPr="0E4E1402" w:rsidR="00722B14">
              <w:rPr>
                <w:lang w:val="en-GB"/>
              </w:rPr>
              <w:t xml:space="preserve">- </w:t>
            </w:r>
            <w:r w:rsidRPr="0E4E1402" w:rsidR="00722B14">
              <w:rPr>
                <w:lang w:val="en-GB"/>
              </w:rPr>
              <w:t>A mandatory OPS requirement for certain ship types (Art</w:t>
            </w:r>
            <w:r w:rsidRPr="0E4E1402" w:rsidR="00722B14">
              <w:rPr>
                <w:lang w:val="en-GB"/>
              </w:rPr>
              <w:t>icle</w:t>
            </w:r>
            <w:r w:rsidRPr="0E4E1402" w:rsidR="00722B14">
              <w:rPr>
                <w:lang w:val="en-GB"/>
              </w:rPr>
              <w:t xml:space="preserve"> 6</w:t>
            </w:r>
            <w:r w:rsidRPr="0E4E1402" w:rsidR="00722B14">
              <w:rPr>
                <w:lang w:val="en-GB"/>
              </w:rPr>
              <w:t>)</w:t>
            </w:r>
            <w:r w:rsidRPr="0E4E1402" w:rsidR="00722B14">
              <w:rPr>
                <w:lang w:val="en-GB"/>
              </w:rPr>
              <w:t>;</w:t>
            </w:r>
          </w:p>
          <w:p w:rsidRPr="00722B14" w:rsidR="00722B14" w:rsidP="0E4E1402" w:rsidRDefault="00722B14" w14:paraId="62C70EC2" w14:textId="53711B72" w14:noSpellErr="1">
            <w:pPr>
              <w:rPr>
                <w:lang w:val="en-GB"/>
              </w:rPr>
            </w:pPr>
            <w:r w:rsidRPr="0E4E1402" w:rsidR="00722B14">
              <w:rPr>
                <w:lang w:val="en-GB"/>
              </w:rPr>
              <w:t xml:space="preserve">- </w:t>
            </w:r>
            <w:r w:rsidRPr="0E4E1402" w:rsidR="00722B14">
              <w:rPr>
                <w:lang w:val="en-GB"/>
              </w:rPr>
              <w:t>Monitoring, reporting, and verification obligations (Art</w:t>
            </w:r>
            <w:r w:rsidRPr="0E4E1402" w:rsidR="00722B14">
              <w:rPr>
                <w:lang w:val="en-GB"/>
              </w:rPr>
              <w:t>icles</w:t>
            </w:r>
            <w:r w:rsidRPr="0E4E1402" w:rsidR="00722B14">
              <w:rPr>
                <w:lang w:val="en-GB"/>
              </w:rPr>
              <w:t xml:space="preserve"> 16</w:t>
            </w:r>
            <w:r w:rsidRPr="0E4E1402" w:rsidR="00722B14">
              <w:rPr>
                <w:lang w:val="en-GB"/>
              </w:rPr>
              <w:t>-</w:t>
            </w:r>
            <w:r w:rsidRPr="0E4E1402" w:rsidR="00722B14">
              <w:rPr>
                <w:lang w:val="en-GB"/>
              </w:rPr>
              <w:t>18</w:t>
            </w:r>
            <w:r w:rsidRPr="0E4E1402" w:rsidR="00722B14">
              <w:rPr>
                <w:lang w:val="en-GB"/>
              </w:rPr>
              <w:t>)</w:t>
            </w:r>
            <w:r w:rsidRPr="0E4E1402" w:rsidR="00722B14">
              <w:rPr>
                <w:lang w:val="en-GB"/>
              </w:rPr>
              <w:t>;</w:t>
            </w:r>
          </w:p>
          <w:p w:rsidRPr="00722B14" w:rsidR="00722B14" w:rsidP="0E4E1402" w:rsidRDefault="00722B14" w14:paraId="098E15BA" w14:textId="28AD6212" w14:noSpellErr="1">
            <w:pPr>
              <w:rPr>
                <w:lang w:val="en-GB"/>
              </w:rPr>
            </w:pPr>
            <w:r w:rsidRPr="0E4E1402" w:rsidR="00722B14">
              <w:rPr>
                <w:lang w:val="en-GB"/>
              </w:rPr>
              <w:t xml:space="preserve">- </w:t>
            </w:r>
            <w:r w:rsidRPr="0E4E1402" w:rsidR="00722B14">
              <w:rPr>
                <w:lang w:val="en-GB"/>
              </w:rPr>
              <w:t>Compliance flexibility (e.g. surplus banking, pooling) and penalties for non-compliance (Art</w:t>
            </w:r>
            <w:r w:rsidRPr="0E4E1402" w:rsidR="00722B14">
              <w:rPr>
                <w:lang w:val="en-GB"/>
              </w:rPr>
              <w:t>icles</w:t>
            </w:r>
            <w:r w:rsidRPr="0E4E1402" w:rsidR="00722B14">
              <w:rPr>
                <w:lang w:val="en-GB"/>
              </w:rPr>
              <w:t xml:space="preserve"> 19</w:t>
            </w:r>
            <w:r w:rsidRPr="0E4E1402" w:rsidR="00722B14">
              <w:rPr>
                <w:lang w:val="en-GB"/>
              </w:rPr>
              <w:t>-</w:t>
            </w:r>
            <w:r w:rsidRPr="0E4E1402" w:rsidR="00722B14">
              <w:rPr>
                <w:lang w:val="en-GB"/>
              </w:rPr>
              <w:t>20</w:t>
            </w:r>
            <w:r w:rsidRPr="0E4E1402" w:rsidR="00722B14">
              <w:rPr>
                <w:lang w:val="en-GB"/>
              </w:rPr>
              <w:t>)</w:t>
            </w:r>
            <w:r w:rsidRPr="0E4E1402" w:rsidR="00722B14">
              <w:rPr>
                <w:lang w:val="en-GB"/>
              </w:rPr>
              <w:t>;</w:t>
            </w:r>
          </w:p>
          <w:p w:rsidRPr="00722B14" w:rsidR="00722B14" w:rsidP="00722B14" w:rsidRDefault="00722B14" w14:paraId="2AE42D9B" w14:textId="3E8995EE">
            <w:pPr>
              <w:rPr>
                <w:lang w:val="en-US"/>
              </w:rPr>
            </w:pPr>
            <w:r>
              <w:rPr>
                <w:lang w:val="en-US"/>
              </w:rPr>
              <w:t xml:space="preserve">- </w:t>
            </w:r>
            <w:r w:rsidRPr="00722B14">
              <w:rPr>
                <w:lang w:val="en-US"/>
              </w:rPr>
              <w:t>A future 2% sub-target for renewable fuels of non-biological origin (RFNBOs) (Art</w:t>
            </w:r>
            <w:r>
              <w:rPr>
                <w:lang w:val="en-US"/>
              </w:rPr>
              <w:t>icle</w:t>
            </w:r>
            <w:r w:rsidRPr="00722B14">
              <w:rPr>
                <w:lang w:val="en-US"/>
              </w:rPr>
              <w:t xml:space="preserve"> 5(3))</w:t>
            </w:r>
            <w:r>
              <w:rPr>
                <w:lang w:val="en-US"/>
              </w:rPr>
              <w:t>.</w:t>
            </w:r>
          </w:p>
          <w:p w:rsidRPr="00722B14" w:rsidR="00722B14" w:rsidP="00093CA9" w:rsidRDefault="009511D4" w14:paraId="18257824" w14:textId="76D25473">
            <w:pPr>
              <w:rPr>
                <w:lang w:val="en-US"/>
              </w:rPr>
            </w:pPr>
            <w:r w:rsidRPr="009511D4">
              <w:rPr>
                <w:lang w:val="en-US"/>
              </w:rPr>
              <w:t xml:space="preserve">This makes it a legally binding transition planning instrument that defines both the path and performance expectations for maritime </w:t>
            </w:r>
            <w:proofErr w:type="spellStart"/>
            <w:r w:rsidRPr="009511D4">
              <w:rPr>
                <w:lang w:val="en-US"/>
              </w:rPr>
              <w:t>decarbonisation</w:t>
            </w:r>
            <w:proofErr w:type="spellEnd"/>
            <w:r w:rsidRPr="009511D4">
              <w:rPr>
                <w:lang w:val="en-US"/>
              </w:rPr>
              <w:t>.</w:t>
            </w:r>
          </w:p>
        </w:tc>
      </w:tr>
      <w:tr w:rsidR="00093CA9" w:rsidTr="0E4E1402"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E4E1402"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tcMar/>
            <w:vAlign w:val="center"/>
          </w:tcPr>
          <w:p w:rsidR="00093CA9" w:rsidP="00093CA9" w:rsidRDefault="003B1985" w14:paraId="54354EEF" w14:textId="2CCA9C42">
            <w:r>
              <w:t>X</w:t>
            </w:r>
          </w:p>
        </w:tc>
      </w:tr>
      <w:tr w:rsidR="00093CA9" w:rsidTr="0E4E1402"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tcMar/>
            <w:vAlign w:val="center"/>
          </w:tcPr>
          <w:p w:rsidR="00093CA9" w:rsidP="00093CA9" w:rsidRDefault="00093CA9" w14:paraId="7E87AE91" w14:textId="77777777"/>
        </w:tc>
      </w:tr>
      <w:tr w:rsidR="003D6DA5" w:rsidTr="0E4E1402"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tcMar/>
            <w:vAlign w:val="center"/>
          </w:tcPr>
          <w:p w:rsidR="003D6DA5" w:rsidRDefault="003D6DA5" w14:paraId="3B8D198C" w14:textId="77777777"/>
        </w:tc>
      </w:tr>
      <w:tr w:rsidR="002B255F" w:rsidTr="0E4E1402"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tcMar/>
            <w:vAlign w:val="center"/>
          </w:tcPr>
          <w:p w:rsidR="002B255F" w:rsidRDefault="002B255F" w14:paraId="2FD900BD" w14:textId="77777777"/>
        </w:tc>
      </w:tr>
      <w:tr w:rsidR="003D6DA5" w:rsidTr="0E4E1402"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tcMar/>
            <w:vAlign w:val="center"/>
          </w:tcPr>
          <w:p w:rsidR="003D6DA5" w:rsidP="00093CA9" w:rsidRDefault="003D6DA5" w14:paraId="7F5FECBA" w14:textId="77777777"/>
        </w:tc>
      </w:tr>
      <w:tr w:rsidR="00093CA9" w:rsidTr="0E4E1402"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tcMar/>
            <w:vAlign w:val="center"/>
          </w:tcPr>
          <w:p w:rsidR="00093CA9" w:rsidP="00093CA9" w:rsidRDefault="00093CA9" w14:paraId="1D526E48" w14:textId="1B0B4271"/>
        </w:tc>
      </w:tr>
      <w:tr w:rsidR="00093CA9" w:rsidTr="0E4E1402"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0E4E1402" w14:paraId="645C48AE" w14:textId="77777777">
        <w:trPr>
          <w:trHeight w:val="533"/>
        </w:trPr>
        <w:tc>
          <w:tcPr>
            <w:tcW w:w="1063" w:type="dxa"/>
            <w:tcMar/>
            <w:vAlign w:val="center"/>
          </w:tcPr>
          <w:p w:rsidR="00093CA9" w:rsidP="00093CA9" w:rsidRDefault="00093CA9" w14:paraId="36DF578D" w14:textId="77777777"/>
        </w:tc>
        <w:tc>
          <w:tcPr>
            <w:tcW w:w="9169" w:type="dxa"/>
            <w:gridSpan w:val="4"/>
            <w:tcMar/>
            <w:vAlign w:val="center"/>
          </w:tcPr>
          <w:p w:rsidR="00093CA9" w:rsidP="00093CA9" w:rsidRDefault="00093CA9" w14:paraId="312E9D7B" w14:textId="77777777"/>
        </w:tc>
      </w:tr>
      <w:tr w:rsidR="00093CA9" w:rsidTr="0E4E1402"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E4E1402"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tcMar/>
            <w:vAlign w:val="center"/>
          </w:tcPr>
          <w:p w:rsidRPr="00173D7C" w:rsidR="00093CA9" w:rsidP="00093CA9" w:rsidRDefault="000571DE" w14:paraId="22A2FF1A" w14:textId="25FB2F9C">
            <w:pPr>
              <w:rPr>
                <w:color w:val="000000" w:themeColor="text1"/>
              </w:rPr>
            </w:pPr>
            <w:r>
              <w:rPr>
                <w:color w:val="000000" w:themeColor="text1"/>
              </w:rPr>
              <w:t>2023</w:t>
            </w:r>
          </w:p>
        </w:tc>
      </w:tr>
      <w:tr w:rsidR="00093CA9" w:rsidTr="0E4E1402"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E4E1402"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tcMar/>
            <w:vAlign w:val="center"/>
          </w:tcPr>
          <w:p w:rsidRPr="00173D7C" w:rsidR="00093CA9" w:rsidP="00093CA9" w:rsidRDefault="000571DE" w14:paraId="5AD2325B" w14:textId="6638C956">
            <w:pPr>
              <w:rPr>
                <w:color w:val="000000" w:themeColor="text1"/>
              </w:rPr>
            </w:pPr>
            <w:r>
              <w:rPr>
                <w:color w:val="000000" w:themeColor="text1"/>
              </w:rPr>
              <w:t>2023</w:t>
            </w:r>
          </w:p>
        </w:tc>
      </w:tr>
      <w:tr w:rsidR="00093CA9" w:rsidTr="0E4E1402"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E4E1402"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tcMar/>
            <w:vAlign w:val="center"/>
          </w:tcPr>
          <w:p w:rsidRPr="00587FAE" w:rsidR="00093CA9" w:rsidP="00093CA9" w:rsidRDefault="00093CA9" w14:paraId="1A1B9D26" w14:textId="77777777">
            <w:pPr>
              <w:rPr>
                <w:color w:val="000000" w:themeColor="text1"/>
              </w:rPr>
            </w:pPr>
          </w:p>
        </w:tc>
      </w:tr>
      <w:tr w:rsidR="00093CA9" w:rsidTr="0E4E1402"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E4E1402"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tcMar/>
            <w:vAlign w:val="center"/>
          </w:tcPr>
          <w:p w:rsidRPr="007419BF" w:rsidR="00093CA9" w:rsidP="00093CA9" w:rsidRDefault="00093CA9" w14:paraId="212B1951" w14:textId="77777777">
            <w:pPr>
              <w:rPr>
                <w:color w:val="000000" w:themeColor="text1"/>
              </w:rPr>
            </w:pPr>
          </w:p>
        </w:tc>
      </w:tr>
      <w:tr w:rsidRPr="00E50B13" w:rsidR="00093CA9" w:rsidTr="0E4E1402"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E4E1402"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tcMar/>
            <w:vAlign w:val="center"/>
          </w:tcPr>
          <w:p w:rsidR="00093CA9" w:rsidP="00093CA9" w:rsidRDefault="000A560D" w14:paraId="7961F236" w14:textId="2330FB35">
            <w:r>
              <w:t>The E</w:t>
            </w:r>
            <w:r w:rsidRPr="000A560D">
              <w:t>uropean Parliament and the Council of the European Union</w:t>
            </w:r>
            <w:r>
              <w:t>.</w:t>
            </w:r>
          </w:p>
        </w:tc>
      </w:tr>
      <w:tr w:rsidRPr="006B7B0D" w:rsidR="00093CA9" w:rsidTr="0E4E1402"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E4E1402"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6B7B0D" w:rsidR="00093CA9" w:rsidP="00093CA9" w:rsidRDefault="000A560D" w14:paraId="58D97C26" w14:textId="1D67FA96">
            <w:r w:rsidRPr="000A560D">
              <w:t>European Commission</w:t>
            </w:r>
          </w:p>
        </w:tc>
      </w:tr>
      <w:tr w:rsidRPr="006B7B0D" w:rsidR="00093CA9" w:rsidTr="0E4E1402"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E4E1402"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tcMar/>
            <w:vAlign w:val="center"/>
          </w:tcPr>
          <w:p w:rsidRPr="006B7B0D" w:rsidR="00093CA9" w:rsidP="00093CA9" w:rsidRDefault="00093CA9" w14:paraId="2BF89CCD" w14:textId="77777777"/>
        </w:tc>
      </w:tr>
      <w:tr w:rsidRPr="006B7B0D" w:rsidR="00093CA9" w:rsidTr="0E4E1402"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tcMar/>
            <w:vAlign w:val="center"/>
          </w:tcPr>
          <w:p w:rsidRPr="006B7B0D" w:rsidR="00093CA9" w:rsidP="00093CA9" w:rsidRDefault="00093CA9" w14:paraId="06104883" w14:textId="77777777"/>
        </w:tc>
      </w:tr>
      <w:tr w:rsidRPr="006B7B0D" w:rsidR="00093CA9" w:rsidTr="0E4E1402"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0E4E1402"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B02367" w14:paraId="6DCCE4F4" w14:textId="58EDA4BD">
            <w:r>
              <w:t>X</w:t>
            </w:r>
          </w:p>
        </w:tc>
      </w:tr>
      <w:tr w:rsidRPr="006B7B0D" w:rsidR="00093CA9" w:rsidTr="0E4E1402"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E4E1402"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tc>
      </w:tr>
      <w:tr w:rsidRPr="006B7B0D" w:rsidR="00093CA9" w:rsidTr="0E4E1402" w14:paraId="6AB9B869" w14:textId="77777777">
        <w:trPr>
          <w:trHeight w:val="63"/>
        </w:trPr>
        <w:tc>
          <w:tcPr>
            <w:tcW w:w="1063" w:type="dxa"/>
            <w:tcMar/>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E4E1402" w14:paraId="1BA88269" w14:textId="77777777">
        <w:trPr>
          <w:trHeight w:val="63"/>
        </w:trPr>
        <w:tc>
          <w:tcPr>
            <w:tcW w:w="1063" w:type="dxa"/>
            <w:tcMar/>
            <w:vAlign w:val="center"/>
          </w:tcPr>
          <w:p w:rsidRPr="006B7B0D" w:rsidR="00093CA9" w:rsidP="00093CA9" w:rsidRDefault="00093CA9" w14:paraId="71E485F5" w14:textId="77777777">
            <w:r w:rsidRPr="006B7B0D">
              <w:lastRenderedPageBreak/>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tcMar/>
            <w:vAlign w:val="center"/>
          </w:tcPr>
          <w:p w:rsidRPr="006B7B0D" w:rsidR="00093CA9" w:rsidP="00093CA9" w:rsidRDefault="00093CA9" w14:paraId="3A6A50BF" w14:textId="77777777"/>
        </w:tc>
      </w:tr>
      <w:tr w:rsidRPr="006B7B0D" w:rsidR="00093CA9" w:rsidTr="0E4E1402"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tcMar/>
            <w:vAlign w:val="center"/>
          </w:tcPr>
          <w:p w:rsidRPr="006B7B0D" w:rsidR="00093CA9" w:rsidP="00093CA9" w:rsidRDefault="00093CA9" w14:paraId="325AB748" w14:textId="77777777"/>
        </w:tc>
      </w:tr>
      <w:tr w:rsidRPr="006B7B0D" w:rsidR="00093CA9" w:rsidTr="0E4E1402" w14:paraId="18F660AB" w14:textId="77777777">
        <w:trPr>
          <w:trHeight w:val="63"/>
        </w:trPr>
        <w:tc>
          <w:tcPr>
            <w:tcW w:w="1063" w:type="dxa"/>
            <w:tcMar/>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tcMar/>
            <w:vAlign w:val="center"/>
          </w:tcPr>
          <w:p w:rsidRPr="006B7B0D" w:rsidR="00093CA9" w:rsidP="00093CA9" w:rsidRDefault="00093CA9" w14:paraId="5989DD29" w14:textId="77777777"/>
        </w:tc>
      </w:tr>
      <w:tr w:rsidRPr="006B7B0D" w:rsidR="00093CA9" w:rsidTr="0E4E1402"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tcMar/>
            <w:vAlign w:val="center"/>
          </w:tcPr>
          <w:p w:rsidRPr="006B7B0D" w:rsidR="00093CA9" w:rsidP="00093CA9" w:rsidRDefault="00093CA9" w14:paraId="6FFE5C36" w14:textId="77777777"/>
        </w:tc>
      </w:tr>
      <w:tr w:rsidRPr="006B7B0D" w:rsidR="00093CA9" w:rsidTr="0E4E1402"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E4E1402"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tc>
      </w:tr>
      <w:tr w:rsidRPr="006B7B0D" w:rsidR="00093CA9" w:rsidTr="0E4E1402"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E4E1402"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tcMar/>
            <w:vAlign w:val="center"/>
          </w:tcPr>
          <w:p w:rsidRPr="006B7B0D" w:rsidR="00093CA9" w:rsidP="00093CA9" w:rsidRDefault="00093CA9" w14:paraId="7CCBB24C" w14:textId="77777777"/>
        </w:tc>
      </w:tr>
      <w:tr w:rsidRPr="006B7B0D" w:rsidR="00093CA9" w:rsidTr="0E4E1402"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tcMar/>
            <w:vAlign w:val="center"/>
          </w:tcPr>
          <w:p w:rsidRPr="006B7B0D" w:rsidR="00093CA9" w:rsidP="00093CA9" w:rsidRDefault="00093CA9" w14:paraId="1E169CCE" w14:textId="77777777"/>
        </w:tc>
      </w:tr>
      <w:tr w:rsidRPr="006B7B0D" w:rsidR="00093CA9" w:rsidTr="0E4E1402"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tcMar/>
            <w:vAlign w:val="center"/>
          </w:tcPr>
          <w:p w:rsidRPr="006B7B0D" w:rsidR="00093CA9" w:rsidP="00093CA9" w:rsidRDefault="00093CA9" w14:paraId="6CA00AB3" w14:textId="77777777"/>
        </w:tc>
      </w:tr>
      <w:tr w:rsidRPr="006B7B0D" w:rsidR="00093CA9" w:rsidTr="0E4E1402" w14:paraId="36227F50" w14:textId="77777777">
        <w:trPr>
          <w:trHeight w:val="63"/>
        </w:trPr>
        <w:tc>
          <w:tcPr>
            <w:tcW w:w="1063" w:type="dxa"/>
            <w:tcMar/>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0E4E1402"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E4E1402"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tc>
      </w:tr>
      <w:tr w:rsidRPr="006B7B0D" w:rsidR="00093CA9" w:rsidTr="0E4E1402"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E4E1402"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tcMar/>
            <w:vAlign w:val="center"/>
          </w:tcPr>
          <w:p w:rsidRPr="006B7B0D" w:rsidR="00093CA9" w:rsidP="00093CA9" w:rsidRDefault="00093CA9" w14:paraId="36FFFEDB" w14:textId="77777777"/>
        </w:tc>
      </w:tr>
      <w:tr w:rsidRPr="006B7B0D" w:rsidR="00093CA9" w:rsidTr="0E4E1402"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tcMar/>
            <w:vAlign w:val="center"/>
          </w:tcPr>
          <w:p w:rsidRPr="006B7B0D" w:rsidR="00093CA9" w:rsidP="00093CA9" w:rsidRDefault="00093CA9" w14:paraId="2258416A" w14:textId="77777777"/>
        </w:tc>
      </w:tr>
      <w:tr w:rsidRPr="006B7B0D" w:rsidR="00093CA9" w:rsidTr="0E4E1402" w14:paraId="6F89B1B5" w14:textId="77777777">
        <w:trPr>
          <w:trHeight w:val="63"/>
        </w:trPr>
        <w:tc>
          <w:tcPr>
            <w:tcW w:w="1063" w:type="dxa"/>
            <w:tcMar/>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tcMar/>
            <w:vAlign w:val="center"/>
          </w:tcPr>
          <w:p w:rsidRPr="006B7B0D" w:rsidR="00093CA9" w:rsidP="00093CA9" w:rsidRDefault="00093CA9" w14:paraId="097884C2" w14:textId="77777777"/>
        </w:tc>
      </w:tr>
      <w:tr w:rsidRPr="006B7B0D" w:rsidR="00093CA9" w:rsidTr="0E4E1402"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0E4E1402"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E4E1402"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tc>
      </w:tr>
      <w:tr w:rsidRPr="006B7B0D" w:rsidR="00093CA9" w:rsidTr="0E4E1402"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E4E1402"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tcMar/>
            <w:vAlign w:val="center"/>
          </w:tcPr>
          <w:p w:rsidRPr="006B7B0D" w:rsidR="00093CA9" w:rsidP="00093CA9" w:rsidRDefault="00093CA9" w14:paraId="65FA4173" w14:textId="77777777"/>
        </w:tc>
      </w:tr>
      <w:tr w:rsidRPr="006B7B0D" w:rsidR="00093CA9" w:rsidTr="0E4E1402" w14:paraId="40A766AA" w14:textId="77777777">
        <w:trPr>
          <w:trHeight w:val="63"/>
        </w:trPr>
        <w:tc>
          <w:tcPr>
            <w:tcW w:w="1063" w:type="dxa"/>
            <w:tcMar/>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tcMar/>
            <w:vAlign w:val="center"/>
          </w:tcPr>
          <w:p w:rsidRPr="006B7B0D" w:rsidR="00093CA9" w:rsidP="00093CA9" w:rsidRDefault="00093CA9" w14:paraId="410D9203" w14:textId="77777777"/>
        </w:tc>
      </w:tr>
      <w:tr w:rsidRPr="006B7B0D" w:rsidR="00093CA9" w:rsidTr="0E4E1402"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tcMar/>
            <w:vAlign w:val="center"/>
          </w:tcPr>
          <w:p w:rsidRPr="006B7B0D" w:rsidR="00093CA9" w:rsidP="00093CA9" w:rsidRDefault="00093CA9" w14:paraId="581FA8E7" w14:textId="77777777"/>
        </w:tc>
      </w:tr>
      <w:tr w:rsidRPr="006B7B0D" w:rsidR="00093CA9" w:rsidTr="0E4E1402"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0E4E1402"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0E4E1402" w14:paraId="50F2DDFC" w14:textId="77777777">
        <w:trPr>
          <w:trHeight w:val="1020"/>
        </w:trPr>
        <w:tc>
          <w:tcPr>
            <w:tcW w:w="1063" w:type="dxa"/>
            <w:tcMar/>
            <w:vAlign w:val="center"/>
          </w:tcPr>
          <w:p w:rsidR="00093CA9" w:rsidP="00093CA9" w:rsidRDefault="00093CA9" w14:paraId="6B62A7E8" w14:textId="77777777"/>
        </w:tc>
        <w:tc>
          <w:tcPr>
            <w:tcW w:w="9169" w:type="dxa"/>
            <w:gridSpan w:val="4"/>
            <w:tcMar/>
            <w:vAlign w:val="center"/>
          </w:tcPr>
          <w:p w:rsidR="00093CA9" w:rsidP="00093CA9" w:rsidRDefault="00093CA9" w14:paraId="42D06D03" w14:textId="77777777"/>
        </w:tc>
      </w:tr>
      <w:tr w:rsidR="00093CA9" w:rsidTr="0E4E1402"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E4E1402"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tcMar/>
            <w:vAlign w:val="center"/>
          </w:tcPr>
          <w:p w:rsidR="00093CA9" w:rsidP="00093CA9" w:rsidRDefault="00093CA9" w14:paraId="146E2BFD" w14:textId="77777777"/>
        </w:tc>
      </w:tr>
      <w:tr w:rsidR="00093CA9" w:rsidTr="0E4E1402"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tcMar/>
            <w:vAlign w:val="center"/>
          </w:tcPr>
          <w:p w:rsidR="00093CA9" w:rsidP="00093CA9" w:rsidRDefault="00E67AC7" w14:paraId="54F7EBC8" w14:textId="39CAD710">
            <w:r>
              <w:t>X</w:t>
            </w:r>
          </w:p>
        </w:tc>
      </w:tr>
      <w:tr w:rsidR="00093CA9" w:rsidTr="0E4E1402"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E4E1402" w14:paraId="0F291701" w14:textId="77777777">
        <w:trPr>
          <w:trHeight w:val="1020"/>
        </w:trPr>
        <w:tc>
          <w:tcPr>
            <w:tcW w:w="1063" w:type="dxa"/>
            <w:tcMar/>
            <w:vAlign w:val="center"/>
          </w:tcPr>
          <w:p w:rsidR="00093CA9" w:rsidP="00093CA9" w:rsidRDefault="00093CA9" w14:paraId="08EDF6C9" w14:textId="77777777"/>
        </w:tc>
        <w:tc>
          <w:tcPr>
            <w:tcW w:w="9169" w:type="dxa"/>
            <w:gridSpan w:val="4"/>
            <w:tcMar/>
            <w:vAlign w:val="center"/>
          </w:tcPr>
          <w:p w:rsidR="00093CA9" w:rsidP="00093CA9" w:rsidRDefault="00D63522" w14:paraId="03E605F8" w14:textId="1DDC40DE">
            <w:pPr>
              <w:keepNext/>
              <w:rPr>
                <w:color w:val="000000" w:themeColor="text1"/>
              </w:rPr>
            </w:pPr>
            <w:r w:rsidRPr="00D63522">
              <w:rPr>
                <w:color w:val="000000" w:themeColor="text1"/>
              </w:rPr>
              <w:t>Companies (i.e. shipowners or operators</w:t>
            </w:r>
            <w:r w:rsidR="00993F6B">
              <w:rPr>
                <w:color w:val="000000" w:themeColor="text1"/>
              </w:rPr>
              <w:t>,</w:t>
            </w:r>
            <w:r w:rsidRPr="00D63522">
              <w:rPr>
                <w:color w:val="000000" w:themeColor="text1"/>
              </w:rPr>
              <w:t xml:space="preserve"> as defined in Article 3(13)) are required to monitor and report, on an annual basis, the amount and type of energy used on board, the GHG intensity of that energy, engine specifications, and the use of technologies such as wind-assisted propulsion and </w:t>
            </w:r>
            <w:r w:rsidRPr="00D63522" w:rsidR="00993F6B">
              <w:rPr>
                <w:color w:val="000000" w:themeColor="text1"/>
              </w:rPr>
              <w:t>onshore</w:t>
            </w:r>
            <w:r w:rsidRPr="00D63522">
              <w:rPr>
                <w:color w:val="000000" w:themeColor="text1"/>
              </w:rPr>
              <w:t xml:space="preserve"> power supply (OPS). This must be done in accordance with a monitoring plan submitted to a verifier (Article 16(1)</w:t>
            </w:r>
            <w:r w:rsidR="00993F6B">
              <w:rPr>
                <w:color w:val="000000" w:themeColor="text1"/>
              </w:rPr>
              <w:t>-</w:t>
            </w:r>
            <w:r w:rsidRPr="00D63522">
              <w:rPr>
                <w:color w:val="000000" w:themeColor="text1"/>
              </w:rPr>
              <w:t>(3)). The contents of the annual report are set out in Article 17.</w:t>
            </w:r>
          </w:p>
          <w:p w:rsidR="00A37CE3" w:rsidP="00093CA9" w:rsidRDefault="00A37CE3" w14:paraId="1C630F32" w14:textId="77777777">
            <w:pPr>
              <w:keepNext/>
              <w:rPr>
                <w:color w:val="000000" w:themeColor="text1"/>
              </w:rPr>
            </w:pPr>
            <w:r w:rsidRPr="00A37CE3">
              <w:rPr>
                <w:color w:val="000000" w:themeColor="text1"/>
              </w:rPr>
              <w:t>Independent verifiers (Article 18(1))</w:t>
            </w:r>
            <w:r>
              <w:rPr>
                <w:color w:val="000000" w:themeColor="text1"/>
              </w:rPr>
              <w:t xml:space="preserve">, </w:t>
            </w:r>
            <w:r w:rsidRPr="00A37CE3">
              <w:rPr>
                <w:color w:val="000000" w:themeColor="text1"/>
              </w:rPr>
              <w:t>which must be accredited legal entities</w:t>
            </w:r>
            <w:r>
              <w:rPr>
                <w:color w:val="000000" w:themeColor="text1"/>
              </w:rPr>
              <w:t xml:space="preserve">, </w:t>
            </w:r>
            <w:r w:rsidRPr="00A37CE3">
              <w:rPr>
                <w:color w:val="000000" w:themeColor="text1"/>
              </w:rPr>
              <w:t xml:space="preserve">are responsible for assessing the accuracy and completeness of the data reported. They verify whether the ship has complied with the GHG intensity limits and OPS obligations, and they calculate the yearly average GHG intensity, the compliance balance and any resulting </w:t>
            </w:r>
            <w:r w:rsidRPr="00A37CE3">
              <w:rPr>
                <w:color w:val="000000" w:themeColor="text1"/>
              </w:rPr>
              <w:lastRenderedPageBreak/>
              <w:t>compliance surplus or deficit (Article 18(2)</w:t>
            </w:r>
            <w:r>
              <w:rPr>
                <w:color w:val="000000" w:themeColor="text1"/>
              </w:rPr>
              <w:t>-</w:t>
            </w:r>
            <w:r w:rsidRPr="00A37CE3">
              <w:rPr>
                <w:color w:val="000000" w:themeColor="text1"/>
              </w:rPr>
              <w:t xml:space="preserve">(4)). Based on this verification, the verifier issues a </w:t>
            </w:r>
            <w:proofErr w:type="spellStart"/>
            <w:r w:rsidRPr="00A37CE3">
              <w:rPr>
                <w:color w:val="000000" w:themeColor="text1"/>
              </w:rPr>
              <w:t>FuelEU</w:t>
            </w:r>
            <w:proofErr w:type="spellEnd"/>
            <w:r w:rsidRPr="00A37CE3">
              <w:rPr>
                <w:color w:val="000000" w:themeColor="text1"/>
              </w:rPr>
              <w:t xml:space="preserve"> document of compliance as evidence of regulatory conformity (Article 22).</w:t>
            </w:r>
          </w:p>
          <w:p w:rsidRPr="008017F9" w:rsidR="00844AB6" w:rsidP="00093CA9" w:rsidRDefault="00844AB6" w14:paraId="2C2128DB" w14:textId="554A4907">
            <w:pPr>
              <w:keepNext/>
              <w:rPr>
                <w:color w:val="000000" w:themeColor="text1"/>
              </w:rPr>
            </w:pPr>
            <w:r w:rsidRPr="00844AB6">
              <w:rPr>
                <w:color w:val="000000" w:themeColor="text1"/>
              </w:rPr>
              <w:t xml:space="preserve">The Commission is tasked with establishing and maintaining a centralised electronic </w:t>
            </w:r>
            <w:proofErr w:type="spellStart"/>
            <w:r w:rsidRPr="00844AB6">
              <w:rPr>
                <w:color w:val="000000" w:themeColor="text1"/>
              </w:rPr>
              <w:t>FuelEU</w:t>
            </w:r>
            <w:proofErr w:type="spellEnd"/>
            <w:r w:rsidRPr="00844AB6">
              <w:rPr>
                <w:color w:val="000000" w:themeColor="text1"/>
              </w:rPr>
              <w:t xml:space="preserve"> database, which records the compliance performance of each ship (Article 21(1)). This database is to be used for all major compliance actions under the Regulation and is to be developed </w:t>
            </w:r>
            <w:r w:rsidRPr="00844AB6" w:rsidR="00993F6B">
              <w:rPr>
                <w:color w:val="000000" w:themeColor="text1"/>
              </w:rPr>
              <w:t>based on</w:t>
            </w:r>
            <w:r w:rsidRPr="00844AB6">
              <w:rPr>
                <w:color w:val="000000" w:themeColor="text1"/>
              </w:rPr>
              <w:t xml:space="preserve"> the existing THETIS-MRV module, where possible (Article 21(3)).</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vAlign w:val="center"/>
          </w:tcPr>
          <w:p w:rsidRPr="003577A4" w:rsidR="00524D54" w:rsidP="00DD3144" w:rsidRDefault="00524D54" w14:paraId="2518BD70" w14:textId="77777777"/>
        </w:tc>
      </w:tr>
      <w:tr w:rsidRPr="006840C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7FA944" w14:textId="77777777"/>
        </w:tc>
        <w:tc>
          <w:tcPr>
            <w:tcW w:w="1440" w:type="dxa"/>
            <w:vAlign w:val="center"/>
          </w:tcPr>
          <w:p w:rsidR="00B0479E" w:rsidP="00DD3144" w:rsidRDefault="00B0479E" w14:paraId="028D81AE" w14:textId="77777777"/>
        </w:tc>
        <w:tc>
          <w:tcPr>
            <w:tcW w:w="1890" w:type="dxa"/>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58FF7AF7" w14:textId="77777777"/>
        </w:tc>
        <w:tc>
          <w:tcPr>
            <w:tcW w:w="1440" w:type="dxa"/>
            <w:vAlign w:val="center"/>
          </w:tcPr>
          <w:p w:rsidR="00B0479E" w:rsidP="00DD3144" w:rsidRDefault="00B0479E" w14:paraId="5C1D356A" w14:textId="77777777"/>
        </w:tc>
        <w:tc>
          <w:tcPr>
            <w:tcW w:w="1890" w:type="dxa"/>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vAlign w:val="center"/>
          </w:tcPr>
          <w:p w:rsidR="00B0479E" w:rsidP="00DD3144" w:rsidRDefault="00B0479E" w14:paraId="42963139" w14:textId="77777777"/>
        </w:tc>
        <w:tc>
          <w:tcPr>
            <w:tcW w:w="1440" w:type="dxa"/>
            <w:vAlign w:val="center"/>
          </w:tcPr>
          <w:p w:rsidR="00B0479E" w:rsidP="00DD3144" w:rsidRDefault="00B0479E" w14:paraId="16EB1CB8" w14:textId="77777777"/>
        </w:tc>
        <w:tc>
          <w:tcPr>
            <w:tcW w:w="1890" w:type="dxa"/>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vAlign w:val="center"/>
          </w:tcPr>
          <w:p w:rsidR="00B0479E" w:rsidP="00DD3144" w:rsidRDefault="00B0479E" w14:paraId="2A2BA767" w14:textId="77777777"/>
        </w:tc>
        <w:tc>
          <w:tcPr>
            <w:tcW w:w="1440" w:type="dxa"/>
            <w:vAlign w:val="center"/>
          </w:tcPr>
          <w:p w:rsidR="00B0479E" w:rsidP="00DD3144" w:rsidRDefault="00B0479E" w14:paraId="67C1DCBA" w14:textId="77777777"/>
        </w:tc>
        <w:tc>
          <w:tcPr>
            <w:tcW w:w="1890" w:type="dxa"/>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rsidR="00B0479E" w:rsidP="00DD3144" w:rsidRDefault="00B0479E" w14:paraId="7E400B08" w14:textId="77777777"/>
        </w:tc>
        <w:tc>
          <w:tcPr>
            <w:tcW w:w="1440" w:type="dxa"/>
            <w:vAlign w:val="center"/>
          </w:tcPr>
          <w:p w:rsidR="00B0479E" w:rsidP="00DD3144" w:rsidRDefault="00B0479E" w14:paraId="79F426CB" w14:textId="77777777"/>
        </w:tc>
        <w:tc>
          <w:tcPr>
            <w:tcW w:w="1890" w:type="dxa"/>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vAlign w:val="center"/>
          </w:tcPr>
          <w:p w:rsidR="00B0479E" w:rsidP="00DD3144" w:rsidRDefault="00B0479E" w14:paraId="04C97ADB" w14:textId="77777777"/>
        </w:tc>
        <w:tc>
          <w:tcPr>
            <w:tcW w:w="1440" w:type="dxa"/>
            <w:vAlign w:val="center"/>
          </w:tcPr>
          <w:p w:rsidR="00B0479E" w:rsidP="00DD3144" w:rsidRDefault="00B0479E" w14:paraId="407AD89C" w14:textId="77777777"/>
        </w:tc>
        <w:tc>
          <w:tcPr>
            <w:tcW w:w="1890" w:type="dxa"/>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vAlign w:val="center"/>
          </w:tcPr>
          <w:p w:rsidR="00B0479E" w:rsidP="00DD3144" w:rsidRDefault="00B0479E" w14:paraId="6D23C124" w14:textId="77777777"/>
        </w:tc>
        <w:tc>
          <w:tcPr>
            <w:tcW w:w="1440" w:type="dxa"/>
            <w:vAlign w:val="center"/>
          </w:tcPr>
          <w:p w:rsidR="00B0479E" w:rsidP="00DD3144" w:rsidRDefault="00B0479E" w14:paraId="0FB585A8" w14:textId="77777777"/>
        </w:tc>
        <w:tc>
          <w:tcPr>
            <w:tcW w:w="1890" w:type="dxa"/>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vAlign w:val="center"/>
          </w:tcPr>
          <w:p w:rsidR="00B0479E" w:rsidP="00DD3144" w:rsidRDefault="00B0479E" w14:paraId="788B865B" w14:textId="77777777"/>
        </w:tc>
        <w:tc>
          <w:tcPr>
            <w:tcW w:w="1440" w:type="dxa"/>
            <w:vAlign w:val="center"/>
          </w:tcPr>
          <w:p w:rsidR="00B0479E" w:rsidP="00DD3144" w:rsidRDefault="00B0479E" w14:paraId="1BAE4A5F" w14:textId="77777777"/>
        </w:tc>
        <w:tc>
          <w:tcPr>
            <w:tcW w:w="1890" w:type="dxa"/>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rsidR="00B0479E" w:rsidP="00DD3144" w:rsidRDefault="00B0479E" w14:paraId="6F55A6C2" w14:textId="77777777"/>
        </w:tc>
        <w:tc>
          <w:tcPr>
            <w:tcW w:w="1440" w:type="dxa"/>
            <w:vAlign w:val="center"/>
          </w:tcPr>
          <w:p w:rsidR="00B0479E" w:rsidP="00DD3144" w:rsidRDefault="00B0479E" w14:paraId="43EB5690" w14:textId="77777777"/>
        </w:tc>
        <w:tc>
          <w:tcPr>
            <w:tcW w:w="1890" w:type="dxa"/>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vAlign w:val="center"/>
          </w:tcPr>
          <w:p w:rsidR="00484663" w:rsidP="00DD3144" w:rsidRDefault="00484663" w14:paraId="0048B9DA" w14:textId="77777777"/>
        </w:tc>
        <w:tc>
          <w:tcPr>
            <w:tcW w:w="1440" w:type="dxa"/>
            <w:vAlign w:val="center"/>
          </w:tcPr>
          <w:p w:rsidR="00484663" w:rsidP="00DD3144" w:rsidRDefault="00484663" w14:paraId="010EA0B6" w14:textId="77777777"/>
        </w:tc>
        <w:tc>
          <w:tcPr>
            <w:tcW w:w="1890" w:type="dxa"/>
            <w:vAlign w:val="center"/>
          </w:tcPr>
          <w:p w:rsidR="00484663" w:rsidP="00DD3144" w:rsidRDefault="00484663" w14:paraId="046D9BE7" w14:textId="0965D499"/>
        </w:tc>
      </w:tr>
      <w:tr w:rsidR="00484663" w:rsidTr="00CC7CC0" w14:paraId="69D8FE15" w14:textId="77777777">
        <w:trPr>
          <w:trHeight w:val="224"/>
        </w:trPr>
        <w:tc>
          <w:tcPr>
            <w:tcW w:w="990" w:type="dxa"/>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vAlign w:val="center"/>
          </w:tcPr>
          <w:p w:rsidR="00484663" w:rsidP="00DD3144" w:rsidRDefault="00484663" w14:paraId="24B15D5C" w14:textId="77777777"/>
        </w:tc>
        <w:tc>
          <w:tcPr>
            <w:tcW w:w="1440" w:type="dxa"/>
            <w:vAlign w:val="center"/>
          </w:tcPr>
          <w:p w:rsidR="00484663" w:rsidP="00DD3144" w:rsidRDefault="00484663" w14:paraId="43575BB4" w14:textId="77777777"/>
        </w:tc>
        <w:tc>
          <w:tcPr>
            <w:tcW w:w="1890" w:type="dxa"/>
            <w:vAlign w:val="center"/>
          </w:tcPr>
          <w:p w:rsidR="00484663" w:rsidP="00DD3144" w:rsidRDefault="00484663" w14:paraId="0D936010" w14:textId="1837532B"/>
        </w:tc>
      </w:tr>
      <w:tr w:rsidR="00484663" w:rsidTr="00CC7CC0" w14:paraId="230C62FB" w14:textId="77777777">
        <w:trPr>
          <w:trHeight w:val="224"/>
        </w:trPr>
        <w:tc>
          <w:tcPr>
            <w:tcW w:w="990" w:type="dxa"/>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rsidR="00484663" w:rsidP="00DD3144" w:rsidRDefault="00484663" w14:paraId="5F9B0D59" w14:textId="77777777"/>
        </w:tc>
        <w:tc>
          <w:tcPr>
            <w:tcW w:w="1440" w:type="dxa"/>
            <w:vAlign w:val="center"/>
          </w:tcPr>
          <w:p w:rsidR="00484663" w:rsidP="00DD3144" w:rsidRDefault="00484663" w14:paraId="5A5C0BA3" w14:textId="77777777"/>
        </w:tc>
        <w:tc>
          <w:tcPr>
            <w:tcW w:w="1890" w:type="dxa"/>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855A4A" w14:paraId="2DEB6862" w14:textId="2A017202">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855A4A" w14:paraId="713388AB" w14:textId="147F87E0">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855A4A" w14:paraId="57A593E9" w14:textId="7B8C6B59">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855A4A" w14:paraId="3DE22007" w14:textId="54FF2067">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855A4A" w14:paraId="63BA9E91" w14:textId="5A8AFEFC">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855A4A" w14:paraId="05FA4816" w14:textId="2164F525">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855A4A" w14:paraId="26DE33FF" w14:textId="391D5FFD">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855A4A" w14:paraId="4E633EDC" w14:textId="36F834B1">
            <w:pPr>
              <w:rPr>
                <w:rFonts w:ascii="Calibri" w:hAnsi="Calibri" w:cs="Calibri"/>
              </w:rPr>
            </w:pPr>
            <w:r>
              <w:rPr>
                <w:rFonts w:ascii="Calibri" w:hAnsi="Calibri" w:cs="Calibri"/>
              </w:rPr>
              <w:t>X</w:t>
            </w: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855A4A" w14:paraId="140BFFE7" w14:textId="6B0A4496">
            <w:pPr>
              <w:rPr>
                <w:rFonts w:ascii="Calibri" w:hAnsi="Calibri" w:cs="Calibri"/>
              </w:rPr>
            </w:pPr>
            <w:r>
              <w:rPr>
                <w:rFonts w:ascii="Calibri" w:hAnsi="Calibri" w:cs="Calibri"/>
              </w:rPr>
              <w:t>X</w:t>
            </w: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855A4A" w14:paraId="16075C1E" w14:textId="03F629FA">
            <w:pPr>
              <w:rPr>
                <w:rFonts w:ascii="Calibri" w:hAnsi="Calibri" w:cs="Calibri"/>
              </w:rPr>
            </w:pPr>
            <w:r>
              <w:rPr>
                <w:rFonts w:ascii="Calibri" w:hAnsi="Calibri" w:cs="Calibri"/>
              </w:rPr>
              <w:t>X</w:t>
            </w: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855A4A" w14:paraId="34D7141D" w14:textId="15B51C7D">
            <w:pPr>
              <w:rPr>
                <w:rFonts w:ascii="Calibri" w:hAnsi="Calibri" w:cs="Calibri"/>
              </w:rPr>
            </w:pPr>
            <w:r>
              <w:rPr>
                <w:rFonts w:ascii="Calibri" w:hAnsi="Calibri" w:cs="Calibri"/>
              </w:rPr>
              <w:t>X</w:t>
            </w: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855A4A" w14:paraId="109BE34F" w14:textId="60129185">
            <w:pPr>
              <w:rPr>
                <w:rFonts w:ascii="Calibri" w:hAnsi="Calibri" w:cs="Calibri"/>
              </w:rPr>
            </w:pPr>
            <w:r>
              <w:rPr>
                <w:rFonts w:ascii="Calibri" w:hAnsi="Calibri" w:cs="Calibri"/>
              </w:rP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855A4A" w14:paraId="01F3CDFB" w14:textId="4365784D">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vAlign w:val="center"/>
          </w:tcPr>
          <w:p w:rsidRPr="00C37D48" w:rsidR="004F276F" w:rsidP="00C37D48" w:rsidRDefault="00466960" w14:paraId="28FA68F6" w14:textId="78F26452">
            <w:pPr>
              <w:rPr>
                <w:rFonts w:ascii="Calibri" w:hAnsi="Calibri" w:cs="Calibri"/>
              </w:rPr>
            </w:pPr>
            <w:r>
              <w:rPr>
                <w:rFonts w:ascii="Calibri" w:hAnsi="Calibri" w:cs="Calibri"/>
              </w:rPr>
              <w:t>C</w:t>
            </w:r>
            <w:r w:rsidRPr="00466960">
              <w:rPr>
                <w:rFonts w:ascii="Calibri" w:hAnsi="Calibri" w:cs="Calibri"/>
              </w:rPr>
              <w:t xml:space="preserve">ompanies responsible for operating commercial ships above 5,000 gross </w:t>
            </w:r>
            <w:proofErr w:type="gramStart"/>
            <w:r w:rsidRPr="00466960">
              <w:rPr>
                <w:rFonts w:ascii="Calibri" w:hAnsi="Calibri" w:cs="Calibri"/>
              </w:rPr>
              <w:t>tonnage</w:t>
            </w:r>
            <w:proofErr w:type="gramEnd"/>
            <w:r w:rsidRPr="00466960">
              <w:rPr>
                <w:rFonts w:ascii="Calibri" w:hAnsi="Calibri" w:cs="Calibri"/>
              </w:rPr>
              <w:t>, regardless of their legal form, size</w:t>
            </w:r>
            <w:r>
              <w:rPr>
                <w:rFonts w:ascii="Calibri" w:hAnsi="Calibri" w:cs="Calibri"/>
              </w:rPr>
              <w:t xml:space="preserve"> </w:t>
            </w:r>
            <w:r w:rsidRPr="00466960">
              <w:rPr>
                <w:rFonts w:ascii="Calibri" w:hAnsi="Calibri" w:cs="Calibri"/>
              </w:rPr>
              <w:t>or ownership structure</w:t>
            </w:r>
            <w:r w:rsidR="0056511B">
              <w:rPr>
                <w:rFonts w:ascii="Calibri" w:hAnsi="Calibri" w:cs="Calibri"/>
              </w:rPr>
              <w:t xml:space="preserve"> (Article 3(13))</w:t>
            </w:r>
            <w:r w:rsidRPr="00466960">
              <w:rPr>
                <w:rFonts w:ascii="Calibri" w:hAnsi="Calibri" w:cs="Calibri"/>
              </w:rPr>
              <w:t>.</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vAlign w:val="center"/>
          </w:tcPr>
          <w:p w:rsidRPr="00C37D48" w:rsidR="004F276F" w:rsidP="00C37D48" w:rsidRDefault="004F276F" w14:paraId="6AD40C56" w14:textId="77777777">
            <w:pPr>
              <w:rPr>
                <w:rFonts w:ascii="Calibri" w:hAnsi="Calibri" w:cs="Calibri"/>
              </w:rPr>
            </w:pPr>
          </w:p>
        </w:tc>
      </w:tr>
      <w:tr w:rsidRPr="006840C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68221C" w:rsidP="00C37D48" w:rsidRDefault="0068221C" w14:paraId="16E77746" w14:textId="3A0BC389">
            <w:pPr>
              <w:rPr>
                <w:rFonts w:ascii="Calibri" w:hAnsi="Calibri" w:cs="Calibri"/>
              </w:rPr>
            </w:pPr>
            <w:r>
              <w:rPr>
                <w:rFonts w:ascii="Calibri" w:hAnsi="Calibri" w:cs="Calibri"/>
              </w:rPr>
              <w:t>C</w:t>
            </w:r>
            <w:r w:rsidRPr="0068221C">
              <w:rPr>
                <w:rFonts w:ascii="Calibri" w:hAnsi="Calibri" w:cs="Calibri"/>
              </w:rPr>
              <w:t>ompliance is mandatory for all companies operating ships with gross tonnage (GT) above 5,000 that are used for commercial purposes</w:t>
            </w:r>
            <w:r>
              <w:rPr>
                <w:rFonts w:ascii="Calibri" w:hAnsi="Calibri" w:cs="Calibri"/>
              </w:rPr>
              <w:t xml:space="preserve"> </w:t>
            </w:r>
            <w:r w:rsidRPr="0068221C">
              <w:rPr>
                <w:rFonts w:ascii="Calibri" w:hAnsi="Calibri" w:cs="Calibri"/>
              </w:rPr>
              <w:t>when calling at ports under the jurisdiction of an EU Member State</w:t>
            </w:r>
            <w:r>
              <w:rPr>
                <w:rFonts w:ascii="Calibri" w:hAnsi="Calibri" w:cs="Calibri"/>
              </w:rPr>
              <w:t xml:space="preserve"> (Article</w:t>
            </w:r>
            <w:r w:rsidR="00975669">
              <w:rPr>
                <w:rFonts w:ascii="Calibri" w:hAnsi="Calibri" w:cs="Calibri"/>
              </w:rPr>
              <w:t>s</w:t>
            </w:r>
            <w:r>
              <w:rPr>
                <w:rFonts w:ascii="Calibri" w:hAnsi="Calibri" w:cs="Calibri"/>
              </w:rPr>
              <w:t xml:space="preserve"> 2(1) and 3(13)</w:t>
            </w:r>
            <w:r w:rsidRPr="0068221C">
              <w:rPr>
                <w:rFonts w:ascii="Calibri" w:hAnsi="Calibri" w:cs="Calibri"/>
              </w:rPr>
              <w:t>.</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vAlign w:val="center"/>
          </w:tcPr>
          <w:p w:rsidRPr="00C37D48" w:rsidR="004F276F" w:rsidP="00C37D48" w:rsidRDefault="00726D8B" w14:paraId="5D4204ED" w14:textId="5FF194E8">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726D8B" w14:paraId="33D0DE6E" w14:textId="778C49EB">
            <w:pPr>
              <w:rPr>
                <w:rFonts w:ascii="Calibri" w:hAnsi="Calibri" w:cs="Calibri"/>
              </w:rPr>
            </w:pPr>
            <w:r>
              <w:rPr>
                <w:rFonts w:ascii="Calibri" w:hAnsi="Calibri" w:cs="Calibri"/>
              </w:rPr>
              <w:t>X</w:t>
            </w: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726D8B" w14:paraId="14378141" w14:textId="5BFCB66E">
            <w:pPr>
              <w:rPr>
                <w:rFonts w:ascii="Calibri" w:hAnsi="Calibri" w:cs="Calibri"/>
              </w:rPr>
            </w:pPr>
            <w:r>
              <w:rPr>
                <w:rFonts w:ascii="Calibri" w:hAnsi="Calibri" w:cs="Calibri"/>
              </w:rPr>
              <w:t>X</w:t>
            </w: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vAlign w:val="center"/>
          </w:tcPr>
          <w:p w:rsidR="00711F61" w:rsidP="00C37D48" w:rsidRDefault="00AB6988" w14:paraId="50650DBA" w14:textId="77777777">
            <w:pPr>
              <w:rPr>
                <w:rFonts w:ascii="Calibri" w:hAnsi="Calibri" w:cs="Calibri"/>
              </w:rPr>
            </w:pPr>
            <w:r>
              <w:rPr>
                <w:rFonts w:ascii="Calibri" w:hAnsi="Calibri" w:cs="Calibri"/>
              </w:rPr>
              <w:t xml:space="preserve">- </w:t>
            </w:r>
            <w:r w:rsidRPr="00C37D48">
              <w:rPr>
                <w:rFonts w:ascii="Calibri" w:hAnsi="Calibri" w:cs="Calibri"/>
              </w:rPr>
              <w:t>Monetary fine</w:t>
            </w:r>
          </w:p>
          <w:p w:rsidRPr="002D1342" w:rsidR="002D1342" w:rsidP="002D1342" w:rsidRDefault="002D1342" w14:paraId="0F584560" w14:textId="77777777">
            <w:pPr>
              <w:rPr>
                <w:rFonts w:ascii="Calibri" w:hAnsi="Calibri" w:cs="Calibri"/>
              </w:rPr>
            </w:pPr>
            <w:r w:rsidRPr="002D1342">
              <w:rPr>
                <w:rFonts w:ascii="Calibri" w:hAnsi="Calibri" w:cs="Calibri"/>
              </w:rPr>
              <w:t>The Regulation imposes monetary penalties for two types of non-compliance:</w:t>
            </w:r>
          </w:p>
          <w:p w:rsidRPr="002D1342" w:rsidR="002D1342" w:rsidP="002D1342" w:rsidRDefault="002D1342" w14:paraId="2BFE7329" w14:textId="500EF54E">
            <w:pPr>
              <w:pStyle w:val="ListParagraph"/>
              <w:numPr>
                <w:ilvl w:val="0"/>
                <w:numId w:val="49"/>
              </w:numPr>
              <w:rPr>
                <w:rFonts w:ascii="Calibri" w:hAnsi="Calibri" w:cs="Calibri"/>
              </w:rPr>
            </w:pPr>
            <w:r w:rsidRPr="002D1342">
              <w:rPr>
                <w:rFonts w:ascii="Calibri" w:hAnsi="Calibri" w:cs="Calibri"/>
              </w:rPr>
              <w:t>Exceeding the GHG intensity limits</w:t>
            </w:r>
            <w:r>
              <w:rPr>
                <w:rFonts w:ascii="Calibri" w:hAnsi="Calibri" w:cs="Calibri"/>
              </w:rPr>
              <w:t xml:space="preserve">: </w:t>
            </w:r>
            <w:r w:rsidRPr="002D1342">
              <w:rPr>
                <w:rFonts w:ascii="Calibri" w:hAnsi="Calibri" w:cs="Calibri"/>
              </w:rPr>
              <w:t xml:space="preserve">a </w:t>
            </w:r>
            <w:proofErr w:type="spellStart"/>
            <w:r w:rsidRPr="002D1342">
              <w:rPr>
                <w:rFonts w:ascii="Calibri" w:hAnsi="Calibri" w:cs="Calibri"/>
              </w:rPr>
              <w:t>FuelEU</w:t>
            </w:r>
            <w:proofErr w:type="spellEnd"/>
            <w:r w:rsidRPr="002D1342">
              <w:rPr>
                <w:rFonts w:ascii="Calibri" w:hAnsi="Calibri" w:cs="Calibri"/>
              </w:rPr>
              <w:t xml:space="preserve"> penalty calculated based on the amount and cost of renewable and low-carbon fuels the ship should have used to meet the target (Article 20(2)</w:t>
            </w:r>
            <w:proofErr w:type="gramStart"/>
            <w:r w:rsidRPr="002D1342">
              <w:rPr>
                <w:rFonts w:ascii="Calibri" w:hAnsi="Calibri" w:cs="Calibri"/>
              </w:rPr>
              <w:t>)</w:t>
            </w:r>
            <w:r w:rsidR="0012237D">
              <w:rPr>
                <w:rFonts w:ascii="Calibri" w:hAnsi="Calibri" w:cs="Calibri"/>
              </w:rPr>
              <w:t>;</w:t>
            </w:r>
            <w:proofErr w:type="gramEnd"/>
          </w:p>
          <w:p w:rsidRPr="002D1342" w:rsidR="00AB6988" w:rsidP="002D1342" w:rsidRDefault="002D1342" w14:paraId="025AF9FC" w14:textId="4886759D">
            <w:pPr>
              <w:pStyle w:val="ListParagraph"/>
              <w:numPr>
                <w:ilvl w:val="0"/>
                <w:numId w:val="49"/>
              </w:numPr>
              <w:rPr>
                <w:rFonts w:ascii="Calibri" w:hAnsi="Calibri" w:cs="Calibri"/>
              </w:rPr>
            </w:pPr>
            <w:r w:rsidRPr="002D1342">
              <w:rPr>
                <w:rFonts w:ascii="Calibri" w:hAnsi="Calibri" w:cs="Calibri"/>
              </w:rPr>
              <w:t xml:space="preserve">Failure to use </w:t>
            </w:r>
            <w:r w:rsidRPr="002D1342" w:rsidR="0012237D">
              <w:rPr>
                <w:rFonts w:ascii="Calibri" w:hAnsi="Calibri" w:cs="Calibri"/>
              </w:rPr>
              <w:t>onshore</w:t>
            </w:r>
            <w:r w:rsidRPr="002D1342">
              <w:rPr>
                <w:rFonts w:ascii="Calibri" w:hAnsi="Calibri" w:cs="Calibri"/>
              </w:rPr>
              <w:t xml:space="preserve"> power supply (OPS) while at berth</w:t>
            </w:r>
            <w:r>
              <w:rPr>
                <w:rFonts w:ascii="Calibri" w:hAnsi="Calibri" w:cs="Calibri"/>
              </w:rPr>
              <w:t xml:space="preserve">: </w:t>
            </w:r>
            <w:r w:rsidRPr="002D1342">
              <w:rPr>
                <w:rFonts w:ascii="Calibri" w:hAnsi="Calibri" w:cs="Calibri"/>
              </w:rPr>
              <w:t>a fixed penalty based on electrical demand and time spent non-compliant at berth (Article 20(3)).</w:t>
            </w:r>
          </w:p>
          <w:p w:rsidR="00AB6988" w:rsidP="00C37D48" w:rsidRDefault="00AB6988" w14:paraId="544E9F2F" w14:textId="77777777">
            <w:pPr>
              <w:rPr>
                <w:rFonts w:ascii="Calibri" w:hAnsi="Calibri" w:cs="Calibri"/>
              </w:rPr>
            </w:pPr>
            <w:r>
              <w:rPr>
                <w:rFonts w:ascii="Calibri" w:hAnsi="Calibri" w:cs="Calibri"/>
              </w:rPr>
              <w:t>- Other</w:t>
            </w:r>
          </w:p>
          <w:p w:rsidRPr="003C125F" w:rsidR="003C125F" w:rsidP="003C125F" w:rsidRDefault="003C125F" w14:paraId="50910DA7" w14:textId="688A9754">
            <w:pPr>
              <w:rPr>
                <w:rFonts w:ascii="Calibri" w:hAnsi="Calibri" w:cs="Calibri"/>
              </w:rPr>
            </w:pPr>
            <w:r>
              <w:rPr>
                <w:rFonts w:ascii="Calibri" w:hAnsi="Calibri" w:cs="Calibri"/>
              </w:rPr>
              <w:t>I</w:t>
            </w:r>
            <w:r w:rsidRPr="003C125F">
              <w:rPr>
                <w:rFonts w:ascii="Calibri" w:hAnsi="Calibri" w:cs="Calibri"/>
              </w:rPr>
              <w:t xml:space="preserve">f a ship does not hold a valid </w:t>
            </w:r>
            <w:proofErr w:type="spellStart"/>
            <w:r w:rsidRPr="003C125F">
              <w:rPr>
                <w:rFonts w:ascii="Calibri" w:hAnsi="Calibri" w:cs="Calibri"/>
              </w:rPr>
              <w:t>FuelEU</w:t>
            </w:r>
            <w:proofErr w:type="spellEnd"/>
            <w:r w:rsidRPr="003C125F">
              <w:rPr>
                <w:rFonts w:ascii="Calibri" w:hAnsi="Calibri" w:cs="Calibri"/>
              </w:rPr>
              <w:t xml:space="preserve"> document of compliance (Article 22), it may be subject to control measures under Directive 2009/16/EC.</w:t>
            </w:r>
          </w:p>
          <w:p w:rsidRPr="00C37D48" w:rsidR="003C125F" w:rsidP="003C125F" w:rsidRDefault="003C125F" w14:paraId="643668F7" w14:textId="67C5AAAA">
            <w:pPr>
              <w:rPr>
                <w:rFonts w:ascii="Calibri" w:hAnsi="Calibri" w:cs="Calibri"/>
              </w:rPr>
            </w:pPr>
            <w:r w:rsidRPr="003C125F">
              <w:rPr>
                <w:rFonts w:ascii="Calibri" w:hAnsi="Calibri" w:cs="Calibri"/>
              </w:rPr>
              <w:t>These may include detention or refusal of access in EU ports, as enforcement falls under existing port State control rules.</w:t>
            </w: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vAlign w:val="center"/>
          </w:tcPr>
          <w:p w:rsidRPr="00C37D48" w:rsidR="001F30DE" w:rsidP="00C37D48" w:rsidRDefault="009A0AE1" w14:paraId="7A9EC3B9" w14:textId="448C87A8">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vAlign w:val="center"/>
          </w:tcPr>
          <w:p w:rsidRPr="00C37D48" w:rsidR="001F30DE" w:rsidP="00C37D48" w:rsidRDefault="0064177B" w14:paraId="2A6DE590" w14:textId="11018599">
            <w:pPr>
              <w:rPr>
                <w:rFonts w:ascii="Calibri" w:hAnsi="Calibri" w:cs="Calibri"/>
              </w:rPr>
            </w:pPr>
            <w:r>
              <w:rPr>
                <w:rFonts w:ascii="Calibri" w:hAnsi="Calibri" w:cs="Calibri"/>
              </w:rPr>
              <w:t>X</w:t>
            </w: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vAlign w:val="center"/>
          </w:tcPr>
          <w:p w:rsidR="001F30DE" w:rsidP="00C37D48" w:rsidRDefault="0064177B" w14:paraId="49B6F3E6" w14:textId="77777777">
            <w:pPr>
              <w:rPr>
                <w:rFonts w:ascii="Calibri" w:hAnsi="Calibri" w:cs="Calibri"/>
              </w:rPr>
            </w:pPr>
            <w:r w:rsidRPr="0064177B">
              <w:rPr>
                <w:rFonts w:ascii="Calibri" w:hAnsi="Calibri" w:cs="Calibri"/>
              </w:rPr>
              <w:t>European renewable ethanol producers have initiated a legal challenge to Regulation (EU) 2023/1805, arguing that the Regulation improperly equates crop-based biofuels with the least efficient fossil fuel pathways. They contend this classification wrongly excludes RED-compliant biofuels, thus violating procedural principles like proportionality, equal treatment and objectivity in scientific assessment</w:t>
            </w:r>
            <w:r w:rsidR="004E4B4E">
              <w:rPr>
                <w:rFonts w:ascii="Calibri" w:hAnsi="Calibri" w:cs="Calibri"/>
              </w:rPr>
              <w:t>.</w:t>
            </w:r>
          </w:p>
          <w:p w:rsidRPr="00C37D48" w:rsidR="004E4B4E" w:rsidP="00C37D48" w:rsidRDefault="004E4B4E" w14:paraId="6646114E" w14:textId="7C55E6AE">
            <w:pPr>
              <w:rPr>
                <w:rFonts w:ascii="Calibri" w:hAnsi="Calibri" w:cs="Calibri"/>
              </w:rPr>
            </w:pPr>
            <w:r>
              <w:rPr>
                <w:rFonts w:ascii="Calibri" w:hAnsi="Calibri" w:cs="Calibri"/>
              </w:rPr>
              <w:t>Available at:</w:t>
            </w:r>
            <w:r w:rsidR="00673815">
              <w:rPr>
                <w:rFonts w:ascii="Calibri" w:hAnsi="Calibri" w:cs="Calibri"/>
              </w:rPr>
              <w:t xml:space="preserve"> </w:t>
            </w:r>
            <w:hyperlink w:history="1" r:id="rId18">
              <w:r w:rsidRPr="003B09F0" w:rsidR="00673815">
                <w:rPr>
                  <w:rStyle w:val="Hyperlink"/>
                  <w:rFonts w:ascii="Calibri" w:hAnsi="Calibri" w:cs="Calibri"/>
                </w:rPr>
                <w:t>https://web.archive.org/web/20250724105524/https://www.epure.org/press-release/european-ethanol-producers-raise-legal-challenge-to-eu-maritime-legislation/</w:t>
              </w:r>
            </w:hyperlink>
            <w:r w:rsidR="00673815">
              <w:rPr>
                <w:rFonts w:ascii="Calibri" w:hAnsi="Calibri" w:cs="Calibri"/>
              </w:rPr>
              <w:t xml:space="preserve"> </w:t>
            </w:r>
          </w:p>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vAlign w:val="center"/>
          </w:tcPr>
          <w:p w:rsidRPr="00C37D48" w:rsidR="004F48E8" w:rsidP="00C37D48" w:rsidRDefault="004E4B4E" w14:paraId="618ECA8A" w14:textId="44C8D1AA">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vAlign w:val="center"/>
          </w:tcPr>
          <w:p w:rsidRPr="00C37D48" w:rsidR="000A1365" w:rsidP="00C37D48" w:rsidRDefault="00DE3D89" w14:paraId="347A3679" w14:textId="6A7AD9FA">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vAlign w:val="center"/>
          </w:tcPr>
          <w:p w:rsidRPr="00C37D48" w:rsidR="00D27551" w:rsidP="00C37D48" w:rsidRDefault="00673815" w14:paraId="5E31BCF6" w14:textId="7A2A507E">
            <w:pPr>
              <w:rPr>
                <w:rFonts w:ascii="Calibri" w:hAnsi="Calibri" w:cs="Calibri"/>
              </w:rPr>
            </w:pPr>
            <w:r>
              <w:rPr>
                <w:rFonts w:ascii="Calibri" w:hAnsi="Calibri" w:cs="Calibri"/>
              </w:rPr>
              <w:t>No.</w:t>
            </w: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2879941E" w14:textId="77777777">
            <w:pPr>
              <w:rPr>
                <w:rFonts w:ascii="Calibri" w:hAnsi="Calibri" w:cs="Calibri"/>
              </w:rPr>
            </w:pPr>
          </w:p>
        </w:tc>
        <w:tc>
          <w:tcPr>
            <w:tcW w:w="1456" w:type="dxa"/>
            <w:vAlign w:val="center"/>
          </w:tcPr>
          <w:p w:rsidRPr="00C37D48" w:rsidR="00850F36" w:rsidP="00C37D48" w:rsidRDefault="00850F36" w14:paraId="5B340908" w14:textId="77777777">
            <w:pPr>
              <w:rPr>
                <w:rFonts w:ascii="Calibri" w:hAnsi="Calibri" w:cs="Calibri"/>
              </w:rPr>
            </w:pPr>
          </w:p>
        </w:tc>
        <w:tc>
          <w:tcPr>
            <w:tcW w:w="1334" w:type="dxa"/>
            <w:vAlign w:val="center"/>
          </w:tcPr>
          <w:p w:rsidRPr="00C37D48" w:rsidR="00850F36" w:rsidP="00C37D48" w:rsidRDefault="003B1042" w14:paraId="764B5257" w14:textId="2256DECB">
            <w:pPr>
              <w:rPr>
                <w:rFonts w:ascii="Calibri" w:hAnsi="Calibri" w:cs="Calibri"/>
              </w:rPr>
            </w:pPr>
            <w:r>
              <w:rPr>
                <w:rFonts w:ascii="Calibri" w:hAnsi="Calibri" w:cs="Calibri"/>
              </w:rPr>
              <w:t>X</w:t>
            </w: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361C9F96" w14:textId="77777777">
            <w:pPr>
              <w:rPr>
                <w:rFonts w:ascii="Calibri" w:hAnsi="Calibri" w:cs="Calibri"/>
              </w:rPr>
            </w:pPr>
          </w:p>
        </w:tc>
        <w:tc>
          <w:tcPr>
            <w:tcW w:w="1456" w:type="dxa"/>
            <w:vAlign w:val="center"/>
          </w:tcPr>
          <w:p w:rsidRPr="00C37D48" w:rsidR="00850F36" w:rsidP="00C37D48" w:rsidRDefault="003B1042" w14:paraId="0322FE29" w14:textId="79ADC43F">
            <w:pPr>
              <w:rPr>
                <w:rFonts w:ascii="Calibri" w:hAnsi="Calibri" w:cs="Calibri"/>
              </w:rPr>
            </w:pPr>
            <w:r>
              <w:rPr>
                <w:rFonts w:ascii="Calibri" w:hAnsi="Calibri" w:cs="Calibri"/>
              </w:rPr>
              <w:t>X</w:t>
            </w:r>
          </w:p>
        </w:tc>
        <w:tc>
          <w:tcPr>
            <w:tcW w:w="1334" w:type="dxa"/>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vAlign w:val="center"/>
          </w:tcPr>
          <w:p w:rsidRPr="00C37D48" w:rsidR="00850F36" w:rsidP="00C37D48" w:rsidRDefault="00850F36" w14:paraId="32FA2691" w14:textId="77777777">
            <w:pPr>
              <w:rPr>
                <w:rFonts w:ascii="Calibri" w:hAnsi="Calibri" w:cs="Calibri"/>
              </w:rPr>
            </w:pPr>
          </w:p>
        </w:tc>
        <w:tc>
          <w:tcPr>
            <w:tcW w:w="1456" w:type="dxa"/>
            <w:vAlign w:val="center"/>
          </w:tcPr>
          <w:p w:rsidRPr="00C37D48" w:rsidR="00850F36" w:rsidP="00C37D48" w:rsidRDefault="00850F36" w14:paraId="41A659E6" w14:textId="77777777">
            <w:pPr>
              <w:rPr>
                <w:rFonts w:ascii="Calibri" w:hAnsi="Calibri" w:cs="Calibri"/>
              </w:rPr>
            </w:pPr>
          </w:p>
        </w:tc>
        <w:tc>
          <w:tcPr>
            <w:tcW w:w="1334" w:type="dxa"/>
            <w:vAlign w:val="center"/>
          </w:tcPr>
          <w:p w:rsidRPr="00C37D48" w:rsidR="00850F36" w:rsidP="00C37D48" w:rsidRDefault="003B1042" w14:paraId="25D3A280" w14:textId="1A4E8F10">
            <w:pPr>
              <w:rPr>
                <w:rFonts w:ascii="Calibri" w:hAnsi="Calibri" w:cs="Calibri"/>
              </w:rPr>
            </w:pPr>
            <w:r>
              <w:rPr>
                <w:rFonts w:ascii="Calibri" w:hAnsi="Calibri" w:cs="Calibri"/>
              </w:rPr>
              <w:t>X</w:t>
            </w: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rsidRPr="00C37D48" w:rsidR="00850F36" w:rsidP="00C37D48" w:rsidRDefault="00850F36" w14:paraId="22909139" w14:textId="77777777">
            <w:pPr>
              <w:rPr>
                <w:rFonts w:ascii="Calibri" w:hAnsi="Calibri" w:cs="Calibri"/>
              </w:rPr>
            </w:pPr>
          </w:p>
        </w:tc>
        <w:tc>
          <w:tcPr>
            <w:tcW w:w="1456" w:type="dxa"/>
            <w:vAlign w:val="center"/>
          </w:tcPr>
          <w:p w:rsidRPr="00C37D48" w:rsidR="00850F36" w:rsidP="00C37D48" w:rsidRDefault="003B1042" w14:paraId="1F1FF9DF" w14:textId="52D31B20">
            <w:pPr>
              <w:rPr>
                <w:rFonts w:ascii="Calibri" w:hAnsi="Calibri" w:cs="Calibri"/>
              </w:rPr>
            </w:pPr>
            <w:r>
              <w:rPr>
                <w:rFonts w:ascii="Calibri" w:hAnsi="Calibri" w:cs="Calibri"/>
              </w:rPr>
              <w:t>X</w:t>
            </w:r>
          </w:p>
        </w:tc>
        <w:tc>
          <w:tcPr>
            <w:tcW w:w="1334" w:type="dxa"/>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rsidRPr="00C37D48" w:rsidR="00850F36" w:rsidP="00C37D48" w:rsidRDefault="00850F36" w14:paraId="55DC6D41" w14:textId="77777777">
            <w:pPr>
              <w:rPr>
                <w:rFonts w:ascii="Calibri" w:hAnsi="Calibri" w:cs="Calibri"/>
              </w:rPr>
            </w:pPr>
          </w:p>
        </w:tc>
        <w:tc>
          <w:tcPr>
            <w:tcW w:w="1456" w:type="dxa"/>
            <w:vAlign w:val="center"/>
          </w:tcPr>
          <w:p w:rsidRPr="00C37D48" w:rsidR="00850F36" w:rsidP="00C37D48" w:rsidRDefault="00850F36" w14:paraId="04582DFC" w14:textId="77777777">
            <w:pPr>
              <w:rPr>
                <w:rFonts w:ascii="Calibri" w:hAnsi="Calibri" w:cs="Calibri"/>
              </w:rPr>
            </w:pPr>
          </w:p>
        </w:tc>
        <w:tc>
          <w:tcPr>
            <w:tcW w:w="1334" w:type="dxa"/>
            <w:vAlign w:val="center"/>
          </w:tcPr>
          <w:p w:rsidRPr="00C37D48" w:rsidR="00850F36" w:rsidP="00C37D48" w:rsidRDefault="003B1042" w14:paraId="45E8C815" w14:textId="07C46AF4">
            <w:pPr>
              <w:rPr>
                <w:rFonts w:ascii="Calibri" w:hAnsi="Calibri" w:cs="Calibri"/>
              </w:rPr>
            </w:pPr>
            <w:r>
              <w:rPr>
                <w:rFonts w:ascii="Calibri" w:hAnsi="Calibri" w:cs="Calibri"/>
              </w:rP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rsidRPr="00C37D48" w:rsidR="00850F36" w:rsidP="00C37D48" w:rsidRDefault="00850F36" w14:paraId="343F607C" w14:textId="77777777">
            <w:pPr>
              <w:rPr>
                <w:rFonts w:ascii="Calibri" w:hAnsi="Calibri" w:cs="Calibri"/>
              </w:rPr>
            </w:pPr>
          </w:p>
        </w:tc>
        <w:tc>
          <w:tcPr>
            <w:tcW w:w="1456" w:type="dxa"/>
            <w:vAlign w:val="center"/>
          </w:tcPr>
          <w:p w:rsidRPr="00C37D48" w:rsidR="00850F36" w:rsidP="00C37D48" w:rsidRDefault="00850F36" w14:paraId="7E653E8C" w14:textId="77777777">
            <w:pPr>
              <w:rPr>
                <w:rFonts w:ascii="Calibri" w:hAnsi="Calibri" w:cs="Calibri"/>
              </w:rPr>
            </w:pPr>
          </w:p>
        </w:tc>
        <w:tc>
          <w:tcPr>
            <w:tcW w:w="1334" w:type="dxa"/>
            <w:vAlign w:val="center"/>
          </w:tcPr>
          <w:p w:rsidRPr="00C37D48" w:rsidR="00850F36" w:rsidP="00C37D48" w:rsidRDefault="003B1042" w14:paraId="0D1D8855" w14:textId="1547BB54">
            <w:pPr>
              <w:rPr>
                <w:rFonts w:ascii="Calibri" w:hAnsi="Calibri" w:cs="Calibri"/>
              </w:rPr>
            </w:pPr>
            <w:r>
              <w:rPr>
                <w:rFonts w:ascii="Calibri" w:hAnsi="Calibri" w:cs="Calibri"/>
              </w:rPr>
              <w:t>X</w:t>
            </w: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rsidRPr="00C37D48" w:rsidR="00850F36" w:rsidP="00C37D48" w:rsidRDefault="00850F36" w14:paraId="63F3786E" w14:textId="77777777">
            <w:pPr>
              <w:rPr>
                <w:rFonts w:ascii="Calibri" w:hAnsi="Calibri" w:cs="Calibri"/>
              </w:rPr>
            </w:pPr>
          </w:p>
        </w:tc>
        <w:tc>
          <w:tcPr>
            <w:tcW w:w="1456" w:type="dxa"/>
            <w:vAlign w:val="center"/>
          </w:tcPr>
          <w:p w:rsidRPr="00C37D48" w:rsidR="00850F36" w:rsidP="00C37D48" w:rsidRDefault="00850F36" w14:paraId="0E60101F" w14:textId="77777777">
            <w:pPr>
              <w:rPr>
                <w:rFonts w:ascii="Calibri" w:hAnsi="Calibri" w:cs="Calibri"/>
              </w:rPr>
            </w:pPr>
          </w:p>
        </w:tc>
        <w:tc>
          <w:tcPr>
            <w:tcW w:w="1334" w:type="dxa"/>
            <w:vAlign w:val="center"/>
          </w:tcPr>
          <w:p w:rsidRPr="00C37D48" w:rsidR="00850F36" w:rsidP="00C37D48" w:rsidRDefault="003B1042" w14:paraId="165727EB" w14:textId="7BEA5131">
            <w:pPr>
              <w:rPr>
                <w:rFonts w:ascii="Calibri" w:hAnsi="Calibri" w:cs="Calibri"/>
              </w:rPr>
            </w:pPr>
            <w:r>
              <w:rPr>
                <w:rFonts w:ascii="Calibri" w:hAnsi="Calibri" w:cs="Calibri"/>
              </w:rPr>
              <w:t>X</w:t>
            </w: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rsidRPr="00C37D48" w:rsidR="00850F36" w:rsidP="00C37D48" w:rsidRDefault="00850F36" w14:paraId="3D30302F" w14:textId="77777777">
            <w:pPr>
              <w:rPr>
                <w:rFonts w:ascii="Calibri" w:hAnsi="Calibri" w:cs="Calibri"/>
              </w:rPr>
            </w:pPr>
          </w:p>
        </w:tc>
        <w:tc>
          <w:tcPr>
            <w:tcW w:w="1456" w:type="dxa"/>
            <w:vAlign w:val="center"/>
          </w:tcPr>
          <w:p w:rsidRPr="00C37D48" w:rsidR="00850F36" w:rsidP="00C37D48" w:rsidRDefault="00850F36" w14:paraId="7CB53F7B" w14:textId="77777777">
            <w:pPr>
              <w:rPr>
                <w:rFonts w:ascii="Calibri" w:hAnsi="Calibri" w:cs="Calibri"/>
              </w:rPr>
            </w:pPr>
          </w:p>
        </w:tc>
        <w:tc>
          <w:tcPr>
            <w:tcW w:w="1334" w:type="dxa"/>
            <w:vAlign w:val="center"/>
          </w:tcPr>
          <w:p w:rsidRPr="00C37D48" w:rsidR="00850F36" w:rsidP="00C37D48" w:rsidRDefault="003B1042" w14:paraId="50514BAB" w14:textId="6739B02C">
            <w:pPr>
              <w:rPr>
                <w:rFonts w:ascii="Calibri" w:hAnsi="Calibri" w:cs="Calibri"/>
              </w:rPr>
            </w:pPr>
            <w:r>
              <w:rPr>
                <w:rFonts w:ascii="Calibri" w:hAnsi="Calibri" w:cs="Calibri"/>
              </w:rPr>
              <w:t>X</w:t>
            </w: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rsidRPr="00C37D48" w:rsidR="00850F36" w:rsidP="00C37D48" w:rsidRDefault="00850F36" w14:paraId="306FB458" w14:textId="77777777">
            <w:pPr>
              <w:rPr>
                <w:rFonts w:ascii="Calibri" w:hAnsi="Calibri" w:cs="Calibri"/>
              </w:rPr>
            </w:pPr>
          </w:p>
        </w:tc>
        <w:tc>
          <w:tcPr>
            <w:tcW w:w="1456" w:type="dxa"/>
            <w:vAlign w:val="center"/>
          </w:tcPr>
          <w:p w:rsidRPr="00C37D48" w:rsidR="00850F36" w:rsidP="00C37D48" w:rsidRDefault="00850F36" w14:paraId="48666C62" w14:textId="77777777">
            <w:pPr>
              <w:rPr>
                <w:rFonts w:ascii="Calibri" w:hAnsi="Calibri" w:cs="Calibri"/>
              </w:rPr>
            </w:pPr>
          </w:p>
        </w:tc>
        <w:tc>
          <w:tcPr>
            <w:tcW w:w="1334" w:type="dxa"/>
            <w:vAlign w:val="center"/>
          </w:tcPr>
          <w:p w:rsidRPr="00C37D48" w:rsidR="00850F36" w:rsidP="00C37D48" w:rsidRDefault="003B1042" w14:paraId="1C58D255" w14:textId="2B286D10">
            <w:pPr>
              <w:rPr>
                <w:rFonts w:ascii="Calibri" w:hAnsi="Calibri" w:cs="Calibri"/>
              </w:rPr>
            </w:pPr>
            <w:r>
              <w:rPr>
                <w:rFonts w:ascii="Calibri" w:hAnsi="Calibri" w:cs="Calibri"/>
              </w:rPr>
              <w:t>X</w:t>
            </w: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rsidRPr="00C37D48" w:rsidR="00850F36" w:rsidP="00C37D48" w:rsidRDefault="00850F36" w14:paraId="7059B640" w14:textId="77777777">
            <w:pPr>
              <w:rPr>
                <w:rFonts w:ascii="Calibri" w:hAnsi="Calibri" w:cs="Calibri"/>
              </w:rPr>
            </w:pPr>
          </w:p>
        </w:tc>
        <w:tc>
          <w:tcPr>
            <w:tcW w:w="1456" w:type="dxa"/>
            <w:vAlign w:val="center"/>
          </w:tcPr>
          <w:p w:rsidRPr="00C37D48" w:rsidR="00850F36" w:rsidP="00C37D48" w:rsidRDefault="00850F36" w14:paraId="3CB19ED3" w14:textId="77777777">
            <w:pPr>
              <w:rPr>
                <w:rFonts w:ascii="Calibri" w:hAnsi="Calibri" w:cs="Calibri"/>
              </w:rPr>
            </w:pPr>
          </w:p>
        </w:tc>
        <w:tc>
          <w:tcPr>
            <w:tcW w:w="1334" w:type="dxa"/>
            <w:vAlign w:val="center"/>
          </w:tcPr>
          <w:p w:rsidRPr="00C37D48" w:rsidR="00850F36" w:rsidP="00C37D48" w:rsidRDefault="003B1042" w14:paraId="0526DBF3" w14:textId="48ECD9ED">
            <w:pPr>
              <w:rPr>
                <w:rFonts w:ascii="Calibri" w:hAnsi="Calibri" w:cs="Calibri"/>
              </w:rPr>
            </w:pPr>
            <w:r>
              <w:rPr>
                <w:rFonts w:ascii="Calibri" w:hAnsi="Calibri" w:cs="Calibri"/>
              </w:rPr>
              <w:t>X</w:t>
            </w: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vAlign w:val="center"/>
          </w:tcPr>
          <w:p w:rsidRPr="00C37D48" w:rsidR="00850F36" w:rsidP="00C37D48" w:rsidRDefault="00850F36" w14:paraId="565FCA2B" w14:textId="77777777">
            <w:pPr>
              <w:rPr>
                <w:rFonts w:ascii="Calibri" w:hAnsi="Calibri" w:cs="Calibri"/>
              </w:rPr>
            </w:pPr>
          </w:p>
        </w:tc>
        <w:tc>
          <w:tcPr>
            <w:tcW w:w="1456" w:type="dxa"/>
            <w:vAlign w:val="center"/>
          </w:tcPr>
          <w:p w:rsidRPr="00C37D48" w:rsidR="00850F36" w:rsidP="00C37D48" w:rsidRDefault="00850F36" w14:paraId="33DBBD59" w14:textId="77777777">
            <w:pPr>
              <w:rPr>
                <w:rFonts w:ascii="Calibri" w:hAnsi="Calibri" w:cs="Calibri"/>
              </w:rPr>
            </w:pPr>
          </w:p>
        </w:tc>
        <w:tc>
          <w:tcPr>
            <w:tcW w:w="1334" w:type="dxa"/>
            <w:vAlign w:val="center"/>
          </w:tcPr>
          <w:p w:rsidRPr="00C37D48" w:rsidR="00850F36" w:rsidP="00C37D48" w:rsidRDefault="003B1042" w14:paraId="0FFBBE20" w14:textId="41712E24">
            <w:pPr>
              <w:rPr>
                <w:rFonts w:ascii="Calibri" w:hAnsi="Calibri" w:cs="Calibri"/>
              </w:rPr>
            </w:pPr>
            <w:r>
              <w:rPr>
                <w:rFonts w:ascii="Calibri" w:hAnsi="Calibri" w:cs="Calibri"/>
              </w:rPr>
              <w:t>X</w:t>
            </w: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rsidRPr="00C37D48" w:rsidR="00850F36" w:rsidP="00C37D48" w:rsidRDefault="00850F36" w14:paraId="42C90297" w14:textId="77777777">
            <w:pPr>
              <w:rPr>
                <w:rFonts w:ascii="Calibri" w:hAnsi="Calibri" w:cs="Calibri"/>
              </w:rPr>
            </w:pPr>
          </w:p>
        </w:tc>
        <w:tc>
          <w:tcPr>
            <w:tcW w:w="1456" w:type="dxa"/>
            <w:vAlign w:val="center"/>
          </w:tcPr>
          <w:p w:rsidRPr="00C37D48" w:rsidR="00850F36" w:rsidP="00C37D48" w:rsidRDefault="00850F36" w14:paraId="3475209D" w14:textId="77777777">
            <w:pPr>
              <w:rPr>
                <w:rFonts w:ascii="Calibri" w:hAnsi="Calibri" w:cs="Calibri"/>
              </w:rPr>
            </w:pPr>
          </w:p>
        </w:tc>
        <w:tc>
          <w:tcPr>
            <w:tcW w:w="1334" w:type="dxa"/>
            <w:vAlign w:val="center"/>
          </w:tcPr>
          <w:p w:rsidRPr="00C37D48" w:rsidR="00850F36" w:rsidP="00C37D48" w:rsidRDefault="003B1042" w14:paraId="0C710500" w14:textId="2E03FB23">
            <w:pPr>
              <w:rPr>
                <w:rFonts w:ascii="Calibri" w:hAnsi="Calibri" w:cs="Calibri"/>
              </w:rPr>
            </w:pPr>
            <w:r>
              <w:rPr>
                <w:rFonts w:ascii="Calibri" w:hAnsi="Calibri" w:cs="Calibri"/>
              </w:rP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vAlign w:val="center"/>
          </w:tcPr>
          <w:p w:rsidRPr="00C37D48" w:rsidR="00850F36" w:rsidP="00C37D48" w:rsidRDefault="00850F36" w14:paraId="09AA8CB7" w14:textId="77777777">
            <w:pPr>
              <w:rPr>
                <w:rFonts w:ascii="Calibri" w:hAnsi="Calibri" w:cs="Calibri"/>
              </w:rPr>
            </w:pPr>
          </w:p>
        </w:tc>
        <w:tc>
          <w:tcPr>
            <w:tcW w:w="1456" w:type="dxa"/>
            <w:vAlign w:val="center"/>
          </w:tcPr>
          <w:p w:rsidRPr="00C37D48" w:rsidR="00850F36" w:rsidP="00C37D48" w:rsidRDefault="00850F36" w14:paraId="6EE4F476" w14:textId="051AC9BF">
            <w:pPr>
              <w:rPr>
                <w:rFonts w:ascii="Calibri" w:hAnsi="Calibri" w:cs="Calibri"/>
              </w:rPr>
            </w:pPr>
          </w:p>
        </w:tc>
        <w:tc>
          <w:tcPr>
            <w:tcW w:w="1334" w:type="dxa"/>
            <w:vAlign w:val="center"/>
          </w:tcPr>
          <w:p w:rsidRPr="00C37D48" w:rsidR="00850F36" w:rsidP="00C37D48" w:rsidRDefault="00F8317F" w14:paraId="6083449B" w14:textId="6FBA461A">
            <w:pPr>
              <w:rPr>
                <w:rFonts w:ascii="Calibri" w:hAnsi="Calibri" w:cs="Calibri"/>
              </w:rPr>
            </w:pPr>
            <w:r>
              <w:rPr>
                <w:rFonts w:ascii="Calibri" w:hAnsi="Calibri" w:cs="Calibri"/>
              </w:rPr>
              <w:t>X</w:t>
            </w: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vAlign w:val="center"/>
          </w:tcPr>
          <w:p w:rsidR="00D9431B" w:rsidP="00C37D48" w:rsidRDefault="0070394F" w14:paraId="5278FD2E" w14:textId="77777777">
            <w:pPr>
              <w:rPr>
                <w:rFonts w:ascii="Calibri" w:hAnsi="Calibri" w:cs="Calibri"/>
              </w:rPr>
            </w:pPr>
            <w:r>
              <w:rPr>
                <w:rFonts w:ascii="Calibri" w:hAnsi="Calibri" w:cs="Calibri"/>
              </w:rPr>
              <w:t xml:space="preserve">- </w:t>
            </w:r>
            <w:r w:rsidRPr="0070394F">
              <w:rPr>
                <w:rFonts w:ascii="Calibri" w:hAnsi="Calibri" w:cs="Calibri"/>
              </w:rPr>
              <w:t>An intensity-based emissions reductions target</w:t>
            </w:r>
          </w:p>
          <w:p w:rsidR="00FC582C" w:rsidP="00C37D48" w:rsidRDefault="00FC582C" w14:paraId="4257D825" w14:textId="1376225B">
            <w:pPr>
              <w:rPr>
                <w:rFonts w:ascii="Calibri" w:hAnsi="Calibri" w:cs="Calibri"/>
              </w:rPr>
            </w:pPr>
            <w:r>
              <w:rPr>
                <w:rFonts w:ascii="Calibri" w:hAnsi="Calibri" w:cs="Calibri"/>
              </w:rPr>
              <w:t xml:space="preserve">Article 4(1) </w:t>
            </w:r>
            <w:r w:rsidRPr="00FC582C">
              <w:rPr>
                <w:rFonts w:ascii="Calibri" w:hAnsi="Calibri" w:cs="Calibri"/>
              </w:rPr>
              <w:t>establishes a binding obligation on the company (as defined in Article 3(13)) to ensure that each regulated ship complies with a declining GHG intensity limit, expressed in grams of CO₂ equivalent per megajoule (</w:t>
            </w:r>
            <w:proofErr w:type="spellStart"/>
            <w:r w:rsidRPr="00FC582C">
              <w:rPr>
                <w:rFonts w:ascii="Calibri" w:hAnsi="Calibri" w:cs="Calibri"/>
              </w:rPr>
              <w:t>gCO₂eq</w:t>
            </w:r>
            <w:proofErr w:type="spellEnd"/>
            <w:r w:rsidRPr="00FC582C">
              <w:rPr>
                <w:rFonts w:ascii="Calibri" w:hAnsi="Calibri" w:cs="Calibri"/>
              </w:rPr>
              <w:t>/MJ).</w:t>
            </w:r>
          </w:p>
          <w:p w:rsidR="00FC582C" w:rsidP="00C37D48" w:rsidRDefault="00FC582C" w14:paraId="3848D557" w14:textId="47CB9873">
            <w:pPr>
              <w:rPr>
                <w:rFonts w:ascii="Calibri" w:hAnsi="Calibri" w:cs="Calibri"/>
              </w:rPr>
            </w:pPr>
            <w:r w:rsidRPr="00FC582C">
              <w:rPr>
                <w:rFonts w:ascii="Calibri" w:hAnsi="Calibri" w:cs="Calibri"/>
              </w:rPr>
              <w:t>Annex I, Part A, Table 1</w:t>
            </w:r>
            <w:r>
              <w:rPr>
                <w:rFonts w:ascii="Calibri" w:hAnsi="Calibri" w:cs="Calibri"/>
              </w:rPr>
              <w:t xml:space="preserve"> defines t</w:t>
            </w:r>
            <w:r w:rsidRPr="00FC582C">
              <w:rPr>
                <w:rFonts w:ascii="Calibri" w:hAnsi="Calibri" w:cs="Calibri"/>
              </w:rPr>
              <w:t>he trajectory of those limits from 2025 to 2050. The reduction target is set relative to a 2020 baseline (the fleet average), with percentage reductions increasing progressively from 2% in 2025 to 80% by 2050.</w:t>
            </w:r>
          </w:p>
          <w:p w:rsidR="0070394F" w:rsidP="00C37D48" w:rsidRDefault="0070394F" w14:paraId="3B6ED801" w14:textId="77777777">
            <w:pPr>
              <w:rPr>
                <w:rFonts w:ascii="Calibri" w:hAnsi="Calibri" w:cs="Calibri"/>
              </w:rPr>
            </w:pPr>
            <w:r>
              <w:rPr>
                <w:rFonts w:ascii="Calibri" w:hAnsi="Calibri" w:cs="Calibri"/>
              </w:rPr>
              <w:t xml:space="preserve">- </w:t>
            </w:r>
            <w:r w:rsidRPr="0070394F">
              <w:rPr>
                <w:rFonts w:ascii="Calibri" w:hAnsi="Calibri" w:cs="Calibri"/>
              </w:rPr>
              <w:t>Targets covering non-carbon GHG emissions</w:t>
            </w:r>
          </w:p>
          <w:p w:rsidRPr="00F6174D" w:rsidR="00F6174D" w:rsidP="00F6174D" w:rsidRDefault="00F6174D" w14:paraId="4DC131CB" w14:textId="688C77E6">
            <w:pPr>
              <w:rPr>
                <w:rFonts w:ascii="Calibri" w:hAnsi="Calibri" w:cs="Calibri"/>
              </w:rPr>
            </w:pPr>
            <w:r w:rsidRPr="00F6174D">
              <w:rPr>
                <w:rFonts w:ascii="Calibri" w:hAnsi="Calibri" w:cs="Calibri"/>
              </w:rPr>
              <w:t>Article 3(1) defines “greenhouse gas emissions” as</w:t>
            </w:r>
            <w:r>
              <w:rPr>
                <w:rFonts w:ascii="Calibri" w:hAnsi="Calibri" w:cs="Calibri"/>
              </w:rPr>
              <w:t xml:space="preserve"> </w:t>
            </w:r>
            <w:r w:rsidRPr="00F6174D">
              <w:rPr>
                <w:rFonts w:ascii="Calibri" w:hAnsi="Calibri" w:cs="Calibri"/>
              </w:rPr>
              <w:t>“the release of carbon dioxide (CO₂), methane (CH₄) and nitrous oxide (N₂O) into the atmosphere.”</w:t>
            </w:r>
          </w:p>
          <w:p w:rsidR="00D80A45" w:rsidP="00F6174D" w:rsidRDefault="00F6174D" w14:paraId="2CF19250" w14:textId="26EE10E9">
            <w:pPr>
              <w:rPr>
                <w:rFonts w:ascii="Calibri" w:hAnsi="Calibri" w:cs="Calibri"/>
              </w:rPr>
            </w:pPr>
            <w:r w:rsidRPr="00F6174D">
              <w:rPr>
                <w:rFonts w:ascii="Calibri" w:hAnsi="Calibri" w:cs="Calibri"/>
              </w:rPr>
              <w:t>Article 3(34) defines “CO₂ equivalent” as</w:t>
            </w:r>
            <w:r>
              <w:rPr>
                <w:rFonts w:ascii="Calibri" w:hAnsi="Calibri" w:cs="Calibri"/>
              </w:rPr>
              <w:t xml:space="preserve"> </w:t>
            </w:r>
            <w:r w:rsidRPr="00F6174D">
              <w:rPr>
                <w:rFonts w:ascii="Calibri" w:hAnsi="Calibri" w:cs="Calibri"/>
              </w:rPr>
              <w:t>“the metric measure used to compute the emissions from CO₂, CH₄ and N₂O on the basis of their global-warming potential, by converting amounts of CH₄ and N₂O to the equivalent amount of CO₂ with the same global warming potential.”</w:t>
            </w:r>
          </w:p>
          <w:p w:rsidRPr="00C37D48" w:rsidR="003A4F75" w:rsidP="00F8317F" w:rsidRDefault="00F6174D" w14:paraId="20CA8168" w14:textId="5949DF82">
            <w:pPr>
              <w:rPr>
                <w:rFonts w:ascii="Calibri" w:hAnsi="Calibri" w:cs="Calibri"/>
              </w:rPr>
            </w:pPr>
            <w:r w:rsidRPr="00F6174D">
              <w:rPr>
                <w:rFonts w:ascii="Calibri" w:hAnsi="Calibri" w:cs="Calibri"/>
              </w:rPr>
              <w:t>Thus, the intensity targets in Article 4(1) and Annex I are not limited to CO₂, but explicitly cover methane and nitrous oxide, which must be converted and aggregated in CO₂ equivalent terms for compliance purposes.</w:t>
            </w: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vAlign w:val="center"/>
          </w:tcPr>
          <w:p w:rsidRPr="00C37D48" w:rsidR="000A1365" w:rsidP="00C37D48" w:rsidRDefault="00E87C68" w14:paraId="7D580ABD" w14:textId="6F867E03">
            <w:pPr>
              <w:rPr>
                <w:rFonts w:ascii="Calibri" w:hAnsi="Calibri" w:cs="Calibri"/>
              </w:rPr>
            </w:pPr>
            <w:r>
              <w:rPr>
                <w:rFonts w:ascii="Calibri" w:hAnsi="Calibri" w:cs="Calibri"/>
              </w:rP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vAlign w:val="center"/>
          </w:tcPr>
          <w:p w:rsidRPr="00C37D48" w:rsidR="00C81DE5" w:rsidP="00C37D48" w:rsidRDefault="005A227E" w14:paraId="4B0C8A54" w14:textId="6D17C244">
            <w:pPr>
              <w:rPr>
                <w:rFonts w:ascii="Calibri" w:hAnsi="Calibri" w:cs="Calibri"/>
              </w:rPr>
            </w:pPr>
            <w:r>
              <w:rPr>
                <w:rFonts w:ascii="Calibri" w:hAnsi="Calibri" w:cs="Calibri"/>
              </w:rPr>
              <w:t>X</w:t>
            </w: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5A227E" w14:paraId="37D60944" w14:textId="122E3F83">
            <w:pPr>
              <w:rPr>
                <w:rFonts w:ascii="Calibri" w:hAnsi="Calibri" w:cs="Calibri"/>
              </w:rPr>
            </w:pPr>
            <w:r>
              <w:rPr>
                <w:rFonts w:ascii="Calibri" w:hAnsi="Calibri" w:cs="Calibri"/>
              </w:rPr>
              <w:t>X</w:t>
            </w: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lastRenderedPageBreak/>
              <w:t>2.2</w:t>
            </w:r>
            <w:r w:rsidRPr="00C37D48" w:rsidR="00274B22">
              <w:rPr>
                <w:rFonts w:ascii="Calibri" w:hAnsi="Calibri" w:cs="Calibri"/>
              </w:rPr>
              <w:t>3</w:t>
            </w:r>
            <w:r w:rsidRPr="00C37D48">
              <w:rPr>
                <w:rFonts w:ascii="Calibri" w:hAnsi="Calibri" w:cs="Calibri"/>
              </w:rPr>
              <w:t>.4</w:t>
            </w:r>
          </w:p>
        </w:tc>
        <w:tc>
          <w:tcPr>
            <w:tcW w:w="5812" w:type="dxa"/>
            <w:gridSpan w:val="3"/>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vAlign w:val="center"/>
          </w:tcPr>
          <w:p w:rsidRPr="00C37D48" w:rsidR="000A1365" w:rsidP="00C37D48" w:rsidRDefault="00745291" w14:paraId="6D50A5E4" w14:textId="1F44CE78">
            <w:pPr>
              <w:rPr>
                <w:rFonts w:ascii="Calibri" w:hAnsi="Calibri" w:cs="Calibri"/>
              </w:rPr>
            </w:pPr>
            <w:r>
              <w:rPr>
                <w:rFonts w:ascii="Calibri" w:hAnsi="Calibri" w:cs="Calibri"/>
              </w:rPr>
              <w:t>X</w:t>
            </w: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vAlign w:val="center"/>
          </w:tcPr>
          <w:p w:rsidRPr="00C37D48" w:rsidR="000A1365" w:rsidP="00C37D48" w:rsidRDefault="00D87F53" w14:paraId="73D021DE" w14:textId="78BF07F7">
            <w:pPr>
              <w:rPr>
                <w:rFonts w:ascii="Calibri" w:hAnsi="Calibri" w:cs="Calibri"/>
              </w:rPr>
            </w:pPr>
            <w:r>
              <w:rPr>
                <w:rFonts w:ascii="Calibri" w:hAnsi="Calibri" w:cs="Calibri"/>
              </w:rPr>
              <w:t>X</w:t>
            </w: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vAlign w:val="center"/>
          </w:tcPr>
          <w:p w:rsidRPr="00C37D48" w:rsidR="000A1365" w:rsidP="00C37D48" w:rsidRDefault="00D87F53" w14:paraId="5D70C564" w14:textId="53A18D82">
            <w:pPr>
              <w:rPr>
                <w:rFonts w:ascii="Calibri" w:hAnsi="Calibri" w:cs="Calibri"/>
              </w:rPr>
            </w:pPr>
            <w:r>
              <w:rPr>
                <w:rFonts w:ascii="Calibri" w:hAnsi="Calibri" w:cs="Calibri"/>
              </w:rPr>
              <w:t>X</w:t>
            </w: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rsidRPr="00C37D48" w:rsidR="003A2E5E" w:rsidP="00C37D48" w:rsidRDefault="00D87F53" w14:paraId="4064936F" w14:textId="77BE9AF3">
            <w:pPr>
              <w:rPr>
                <w:rFonts w:ascii="Calibri" w:hAnsi="Calibri" w:cs="Calibri"/>
              </w:rPr>
            </w:pPr>
            <w:r>
              <w:rPr>
                <w:rFonts w:ascii="Calibri" w:hAnsi="Calibri" w:cs="Calibri"/>
              </w:rPr>
              <w:t>X</w:t>
            </w: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vAlign w:val="center"/>
          </w:tcPr>
          <w:p w:rsidRPr="00C37D48" w:rsidR="000A1365" w:rsidP="00C37D48" w:rsidRDefault="006409D9" w14:paraId="184433A9" w14:textId="7F64881F">
            <w:pPr>
              <w:rPr>
                <w:rFonts w:ascii="Calibri" w:hAnsi="Calibri" w:cs="Calibri"/>
              </w:rPr>
            </w:pPr>
            <w:r>
              <w:rPr>
                <w:rFonts w:ascii="Calibri" w:hAnsi="Calibri" w:cs="Calibri"/>
              </w:rPr>
              <w:t>X</w:t>
            </w: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000A1365" w:rsidP="00396D5C" w:rsidRDefault="00396D5C" w14:paraId="0AE6CF28" w14:textId="77777777">
            <w:pPr>
              <w:rPr>
                <w:rFonts w:ascii="Calibri" w:hAnsi="Calibri" w:cs="Calibri"/>
              </w:rPr>
            </w:pPr>
            <w:r>
              <w:rPr>
                <w:rFonts w:ascii="Calibri" w:hAnsi="Calibri" w:cs="Calibri"/>
              </w:rPr>
              <w:t>This policy tool</w:t>
            </w:r>
            <w:r w:rsidRPr="00396D5C">
              <w:rPr>
                <w:rFonts w:ascii="Calibri" w:hAnsi="Calibri" w:cs="Calibri"/>
              </w:rPr>
              <w:t xml:space="preserve"> requires </w:t>
            </w:r>
            <w:r w:rsidRPr="009B5B65" w:rsidR="009B5B65">
              <w:rPr>
                <w:rFonts w:ascii="Calibri" w:hAnsi="Calibri" w:cs="Calibri"/>
              </w:rPr>
              <w:t>regulated entities to meet binding interim greenhouse gas (GHG) emissions reduction targets by complying with annually assessed limits on the GHG intensity of the energy used on board each ship</w:t>
            </w:r>
            <w:r w:rsidR="004E3EAB">
              <w:rPr>
                <w:rFonts w:ascii="Calibri" w:hAnsi="Calibri" w:cs="Calibri"/>
              </w:rPr>
              <w:t xml:space="preserve"> (</w:t>
            </w:r>
            <w:r>
              <w:rPr>
                <w:rFonts w:ascii="Calibri" w:hAnsi="Calibri" w:cs="Calibri"/>
              </w:rPr>
              <w:t>Article 4(1)</w:t>
            </w:r>
            <w:r w:rsidR="004E3EAB">
              <w:rPr>
                <w:rFonts w:ascii="Calibri" w:hAnsi="Calibri" w:cs="Calibri"/>
              </w:rPr>
              <w:t>).</w:t>
            </w:r>
          </w:p>
          <w:p w:rsidRPr="00C37D48" w:rsidR="004E3EAB" w:rsidP="00396D5C" w:rsidRDefault="004E3EAB" w14:paraId="7E8ED2C6" w14:textId="13B63616">
            <w:pPr>
              <w:rPr>
                <w:rFonts w:ascii="Calibri" w:hAnsi="Calibri" w:cs="Calibri"/>
              </w:rPr>
            </w:pPr>
            <w:r w:rsidRPr="004E3EAB">
              <w:rPr>
                <w:rFonts w:ascii="Calibri" w:hAnsi="Calibri" w:cs="Calibri"/>
              </w:rPr>
              <w:t xml:space="preserve">These limits are defined as percentage reductions from a fixed reference value (91.16 </w:t>
            </w:r>
            <w:proofErr w:type="spellStart"/>
            <w:r w:rsidRPr="004E3EAB">
              <w:rPr>
                <w:rFonts w:ascii="Calibri" w:hAnsi="Calibri" w:cs="Calibri"/>
              </w:rPr>
              <w:t>gCO₂e</w:t>
            </w:r>
            <w:proofErr w:type="spellEnd"/>
            <w:r w:rsidRPr="004E3EAB">
              <w:rPr>
                <w:rFonts w:ascii="Calibri" w:hAnsi="Calibri" w:cs="Calibri"/>
              </w:rPr>
              <w:t>/MJ) and apply progressively from 2025 through 2050. The applicable reduction percentages are 2% in 2025, 6% in 2030, 14.5% in 2035, 31% in 2040, 62% in 2045, and 80% in 2050</w:t>
            </w:r>
            <w:r w:rsidR="00FF39F3">
              <w:rPr>
                <w:rFonts w:ascii="Calibri" w:hAnsi="Calibri" w:cs="Calibri"/>
              </w:rPr>
              <w:t xml:space="preserve"> (Article 4(2))</w:t>
            </w:r>
            <w:r w:rsidRPr="004E3EAB">
              <w:rPr>
                <w:rFonts w:ascii="Calibri" w:hAnsi="Calibri" w:cs="Calibri"/>
              </w:rPr>
              <w:t>.</w:t>
            </w: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vAlign w:val="center"/>
          </w:tcPr>
          <w:p w:rsidRPr="00C37D48" w:rsidR="000A1365" w:rsidP="00C37D48" w:rsidRDefault="00FF39F3" w14:paraId="3ADECDE0" w14:textId="582AF5E7">
            <w:pPr>
              <w:rPr>
                <w:rFonts w:ascii="Calibri" w:hAnsi="Calibri" w:cs="Calibri"/>
              </w:rPr>
            </w:pPr>
            <w:r>
              <w:rPr>
                <w:rFonts w:ascii="Calibri" w:hAnsi="Calibri" w:cs="Calibri"/>
              </w:rPr>
              <w:t>X</w:t>
            </w: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0A1365" w:rsidP="00C37D48" w:rsidRDefault="003775CE" w14:paraId="6A774EEB" w14:textId="3D590461">
            <w:pPr>
              <w:rPr>
                <w:rFonts w:ascii="Calibri" w:hAnsi="Calibri" w:cs="Calibri"/>
              </w:rPr>
            </w:pPr>
            <w:r>
              <w:rPr>
                <w:rFonts w:ascii="Calibri" w:hAnsi="Calibri" w:cs="Calibri"/>
              </w:rP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vAlign w:val="center"/>
          </w:tcPr>
          <w:p w:rsidRPr="00C37D48" w:rsidR="00D9431B" w:rsidP="00C37D48" w:rsidRDefault="003775CE" w14:paraId="051EE206" w14:textId="09E8170F">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lastRenderedPageBreak/>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vAlign w:val="center"/>
          </w:tcPr>
          <w:p w:rsidRPr="00C37D48" w:rsidR="00890032" w:rsidP="00C37D48" w:rsidRDefault="00CB5859" w14:paraId="42115DBB" w14:textId="1DB50A33">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lastRenderedPageBreak/>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D14840" w14:paraId="3A72362E" w14:textId="6992CAB9">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D14840" w14:paraId="2B786705" w14:textId="3F77FF03">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D14840" w14:paraId="29A8D135" w14:textId="797EF94B">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D14840" w14:paraId="6718E906" w14:textId="172E9EF8">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D14840" w14:paraId="0AA2B51C" w14:textId="72955925">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D14840" w14:paraId="52C7845D" w14:textId="6689E477">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D14840" w14:paraId="7DEB21F8" w14:textId="530E852B">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D14840" w14:paraId="3A5A03AA" w14:textId="6F179796">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D14840" w14:paraId="2E51DA2D" w14:textId="771F54F1">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D14840" w14:paraId="6A55D07D" w14:textId="080AA0B5">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D14840" w14:paraId="292FE0E0" w14:textId="1AC3FCAC">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009166D0" w:rsidP="00610F28" w:rsidRDefault="00F515D1" w14:paraId="3B4742F0" w14:textId="77777777">
            <w:pPr>
              <w:rPr>
                <w:rFonts w:ascii="Calibri" w:hAnsi="Calibri" w:cs="Calibri"/>
              </w:rPr>
            </w:pPr>
            <w:r>
              <w:rPr>
                <w:rFonts w:ascii="Calibri" w:hAnsi="Calibri" w:cs="Calibri"/>
              </w:rPr>
              <w:t xml:space="preserve">- </w:t>
            </w:r>
            <w:r w:rsidRPr="004A533C" w:rsidR="004A533C">
              <w:rPr>
                <w:rFonts w:ascii="Calibri" w:hAnsi="Calibri" w:cs="Calibri"/>
              </w:rPr>
              <w:t>Regulation (EC) No</w:t>
            </w:r>
            <w:r w:rsidR="004A533C">
              <w:rPr>
                <w:rFonts w:ascii="Calibri" w:hAnsi="Calibri" w:cs="Calibri"/>
              </w:rPr>
              <w:t>.</w:t>
            </w:r>
            <w:r w:rsidRPr="004A533C" w:rsidR="004A533C">
              <w:rPr>
                <w:rFonts w:ascii="Calibri" w:hAnsi="Calibri" w:cs="Calibri"/>
              </w:rPr>
              <w:t xml:space="preserve"> 765/2008</w:t>
            </w:r>
          </w:p>
          <w:p w:rsidR="00B610C2" w:rsidP="00610F28" w:rsidRDefault="009166D0" w14:paraId="7384D09D" w14:textId="7F3075DB">
            <w:pPr>
              <w:rPr>
                <w:rFonts w:ascii="Calibri" w:hAnsi="Calibri" w:cs="Calibri"/>
              </w:rPr>
            </w:pPr>
            <w:r>
              <w:rPr>
                <w:rFonts w:ascii="Calibri" w:hAnsi="Calibri" w:cs="Calibri"/>
              </w:rPr>
              <w:t>Recital 53</w:t>
            </w:r>
            <w:r w:rsidR="00445ACC">
              <w:rPr>
                <w:rFonts w:ascii="Calibri" w:hAnsi="Calibri" w:cs="Calibri"/>
              </w:rPr>
              <w:t>, Articles 3(27)</w:t>
            </w:r>
            <w:r w:rsidR="00096ACA">
              <w:rPr>
                <w:rFonts w:ascii="Calibri" w:hAnsi="Calibri" w:cs="Calibri"/>
              </w:rPr>
              <w:t xml:space="preserve"> and 14: </w:t>
            </w:r>
            <w:r>
              <w:rPr>
                <w:rFonts w:ascii="Calibri" w:hAnsi="Calibri" w:cs="Calibri"/>
              </w:rPr>
              <w:t>v</w:t>
            </w:r>
            <w:r w:rsidRPr="009166D0">
              <w:rPr>
                <w:rFonts w:ascii="Calibri" w:hAnsi="Calibri" w:cs="Calibri"/>
              </w:rPr>
              <w:t>erification activities are carried out by verifiers</w:t>
            </w:r>
            <w:r>
              <w:rPr>
                <w:rFonts w:ascii="Calibri" w:hAnsi="Calibri" w:cs="Calibri"/>
              </w:rPr>
              <w:t xml:space="preserve">, and </w:t>
            </w:r>
            <w:r w:rsidRPr="009166D0">
              <w:rPr>
                <w:rFonts w:ascii="Calibri" w:hAnsi="Calibri" w:cs="Calibri"/>
              </w:rPr>
              <w:t xml:space="preserve">to ensure impartiality and effectiveness, verifiers should be independent and competent legal </w:t>
            </w:r>
            <w:r w:rsidRPr="009166D0" w:rsidR="00096ACA">
              <w:rPr>
                <w:rFonts w:ascii="Calibri" w:hAnsi="Calibri" w:cs="Calibri"/>
              </w:rPr>
              <w:t>entities</w:t>
            </w:r>
            <w:r w:rsidR="00096ACA">
              <w:rPr>
                <w:rFonts w:ascii="Calibri" w:hAnsi="Calibri" w:cs="Calibri"/>
              </w:rPr>
              <w:t xml:space="preserve"> and</w:t>
            </w:r>
            <w:r w:rsidRPr="009166D0">
              <w:rPr>
                <w:rFonts w:ascii="Calibri" w:hAnsi="Calibri" w:cs="Calibri"/>
              </w:rPr>
              <w:t xml:space="preserve"> should be accredited by national accreditation bodies established pursuant to </w:t>
            </w:r>
            <w:r>
              <w:rPr>
                <w:rFonts w:ascii="Calibri" w:hAnsi="Calibri" w:cs="Calibri"/>
              </w:rPr>
              <w:t>this Regulation.</w:t>
            </w:r>
          </w:p>
          <w:p w:rsidR="004A533C" w:rsidP="00610F28" w:rsidRDefault="004A533C" w14:paraId="7A2ED396" w14:textId="77777777">
            <w:pPr>
              <w:rPr>
                <w:rFonts w:ascii="Calibri" w:hAnsi="Calibri" w:cs="Calibri"/>
              </w:rPr>
            </w:pPr>
            <w:r>
              <w:rPr>
                <w:rFonts w:ascii="Calibri" w:hAnsi="Calibri" w:cs="Calibri"/>
              </w:rPr>
              <w:t xml:space="preserve">Available at: </w:t>
            </w:r>
            <w:hyperlink w:history="1" r:id="rId19">
              <w:r w:rsidRPr="003B09F0" w:rsidR="00EF337E">
                <w:rPr>
                  <w:rStyle w:val="Hyperlink"/>
                  <w:rFonts w:ascii="Calibri" w:hAnsi="Calibri" w:cs="Calibri"/>
                </w:rPr>
                <w:t>https://web.archive.org/web/20250724112420/https://eur-lex.europa.eu/legal-content/EN/TXT/?uri=CELEX%3A02008R0765-20210716</w:t>
              </w:r>
            </w:hyperlink>
            <w:r w:rsidR="00EF337E">
              <w:rPr>
                <w:rFonts w:ascii="Calibri" w:hAnsi="Calibri" w:cs="Calibri"/>
              </w:rPr>
              <w:t xml:space="preserve"> </w:t>
            </w:r>
          </w:p>
          <w:p w:rsidR="00B21FC7" w:rsidP="00610F28" w:rsidRDefault="00B21FC7" w14:paraId="1282239F" w14:textId="117CEE8E">
            <w:pPr>
              <w:rPr>
                <w:rFonts w:ascii="Calibri" w:hAnsi="Calibri" w:cs="Calibri"/>
              </w:rPr>
            </w:pPr>
            <w:r>
              <w:rPr>
                <w:rFonts w:ascii="Calibri" w:hAnsi="Calibri" w:cs="Calibri"/>
              </w:rPr>
              <w:t xml:space="preserve">- </w:t>
            </w:r>
            <w:r w:rsidRPr="00B21FC7">
              <w:rPr>
                <w:rFonts w:ascii="Calibri" w:hAnsi="Calibri" w:cs="Calibri"/>
              </w:rPr>
              <w:t>Regulation (EU) 2015/757</w:t>
            </w:r>
          </w:p>
          <w:p w:rsidR="00B21FC7" w:rsidP="00610F28" w:rsidRDefault="0041114D" w14:paraId="47EBE655" w14:textId="5B775C7B">
            <w:pPr>
              <w:rPr>
                <w:rFonts w:ascii="Calibri" w:hAnsi="Calibri" w:cs="Calibri"/>
              </w:rPr>
            </w:pPr>
            <w:r>
              <w:rPr>
                <w:rFonts w:ascii="Calibri" w:hAnsi="Calibri" w:cs="Calibri"/>
              </w:rPr>
              <w:t>Recital</w:t>
            </w:r>
            <w:r w:rsidR="00D63058">
              <w:rPr>
                <w:rFonts w:ascii="Calibri" w:hAnsi="Calibri" w:cs="Calibri"/>
              </w:rPr>
              <w:t>s</w:t>
            </w:r>
            <w:r>
              <w:rPr>
                <w:rFonts w:ascii="Calibri" w:hAnsi="Calibri" w:cs="Calibri"/>
              </w:rPr>
              <w:t xml:space="preserve"> </w:t>
            </w:r>
            <w:r w:rsidR="00D63058">
              <w:rPr>
                <w:rFonts w:ascii="Calibri" w:hAnsi="Calibri" w:cs="Calibri"/>
              </w:rPr>
              <w:t>48 and 50:</w:t>
            </w:r>
            <w:r w:rsidR="006A6B4C">
              <w:rPr>
                <w:rFonts w:ascii="Calibri" w:hAnsi="Calibri" w:cs="Calibri"/>
              </w:rPr>
              <w:t xml:space="preserve"> </w:t>
            </w:r>
            <w:r w:rsidRPr="00B21FC7" w:rsidR="00B21FC7">
              <w:rPr>
                <w:rFonts w:ascii="Calibri" w:hAnsi="Calibri" w:cs="Calibri"/>
              </w:rPr>
              <w:t xml:space="preserve">The </w:t>
            </w:r>
            <w:proofErr w:type="spellStart"/>
            <w:r w:rsidRPr="00B21FC7" w:rsidR="00B21FC7">
              <w:rPr>
                <w:rFonts w:ascii="Calibri" w:hAnsi="Calibri" w:cs="Calibri"/>
              </w:rPr>
              <w:t>FuelEU</w:t>
            </w:r>
            <w:proofErr w:type="spellEnd"/>
            <w:r w:rsidRPr="00B21FC7" w:rsidR="00B21FC7">
              <w:rPr>
                <w:rFonts w:ascii="Calibri" w:hAnsi="Calibri" w:cs="Calibri"/>
              </w:rPr>
              <w:t xml:space="preserve"> </w:t>
            </w:r>
            <w:r w:rsidR="00B21FC7">
              <w:rPr>
                <w:rFonts w:ascii="Calibri" w:hAnsi="Calibri" w:cs="Calibri"/>
              </w:rPr>
              <w:t>R</w:t>
            </w:r>
            <w:r w:rsidRPr="00B21FC7" w:rsidR="00B21FC7">
              <w:rPr>
                <w:rFonts w:ascii="Calibri" w:hAnsi="Calibri" w:cs="Calibri"/>
              </w:rPr>
              <w:t>egulation coordinates with existing MRV requirements to limit duplication and ensure consistency in monitoring and reporting GHG emissions.</w:t>
            </w:r>
          </w:p>
          <w:p w:rsidRPr="00610F28" w:rsidR="00B21FC7" w:rsidP="00610F28" w:rsidRDefault="00B21FC7" w14:paraId="3C2756D6" w14:textId="54D12537">
            <w:pPr>
              <w:rPr>
                <w:rFonts w:ascii="Calibri" w:hAnsi="Calibri" w:cs="Calibri"/>
              </w:rPr>
            </w:pPr>
            <w:r>
              <w:rPr>
                <w:rFonts w:ascii="Calibri" w:hAnsi="Calibri" w:cs="Calibri"/>
              </w:rPr>
              <w:t xml:space="preserve">Available at: </w:t>
            </w:r>
            <w:hyperlink w:history="1" r:id="rId20">
              <w:r w:rsidRPr="003B09F0" w:rsidR="00AA46AB">
                <w:rPr>
                  <w:rStyle w:val="Hyperlink"/>
                  <w:rFonts w:ascii="Calibri" w:hAnsi="Calibri" w:cs="Calibri"/>
                </w:rPr>
                <w:t>https://web.archive.org/web/20250724112826/https://eur-lex.europa.eu/legal-content/EN/TXT/?uri=CELEX%3A02015R0757-20250101</w:t>
              </w:r>
            </w:hyperlink>
            <w:r w:rsidR="00AA46AB">
              <w:rPr>
                <w:rFonts w:ascii="Calibri" w:hAnsi="Calibri" w:cs="Calibri"/>
              </w:rPr>
              <w:t xml:space="preserve"> </w:t>
            </w: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bookmarkStart w:name="OpenAt" w:id="13"/>
            <w:bookmarkEnd w:id="13"/>
          </w:p>
        </w:tc>
      </w:tr>
    </w:tbl>
    <w:p w:rsidR="005C7DF6" w:rsidRDefault="005C7DF6" w14:paraId="210AC363" w14:textId="10F0C3B9">
      <w:r>
        <w:br w:type="page"/>
      </w:r>
    </w:p>
    <w:p w:rsidR="00D4323A" w:rsidP="00D4323A" w:rsidRDefault="00D4323A" w14:paraId="6F6BD527" w14:textId="6ED1504A">
      <w:pPr>
        <w:pStyle w:val="Heading1"/>
      </w:pPr>
      <w:bookmarkStart w:name="_Toc198223612" w:id="14"/>
      <w:r>
        <w:lastRenderedPageBreak/>
        <w:t>Domain 3: Public Procurement</w:t>
      </w:r>
      <w:bookmarkEnd w:id="14"/>
      <w:r>
        <w:t xml:space="preserve"> </w:t>
      </w:r>
    </w:p>
    <w:p w:rsidRPr="00950B68" w:rsidR="00950B68" w:rsidP="00950B68" w:rsidRDefault="005E50FD" w14:paraId="0D8B4B9F" w14:textId="5E2943CF">
      <w:pPr>
        <w:pStyle w:val="Heading2"/>
      </w:pPr>
      <w:bookmarkStart w:name="_Toc198223613" w:id="15"/>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6"/>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vAlign w:val="center"/>
          </w:tcPr>
          <w:p w:rsidRPr="00610F28" w:rsidR="00C66EE0" w:rsidP="00610F28" w:rsidRDefault="00C66EE0" w14:paraId="6BA41E6D" w14:textId="77777777">
            <w:pPr>
              <w:rPr>
                <w:rFonts w:ascii="Calibri" w:hAnsi="Calibri" w:cs="Calibri"/>
              </w:rPr>
            </w:pPr>
          </w:p>
        </w:tc>
      </w:tr>
      <w:tr w:rsidRPr="006840C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7"/>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vAlign w:val="center"/>
          </w:tcPr>
          <w:p w:rsidRPr="00610F28" w:rsidR="00C66EE0" w:rsidP="00610F28" w:rsidRDefault="00C66EE0" w14:paraId="434C01FD" w14:textId="77777777">
            <w:pPr>
              <w:rPr>
                <w:rFonts w:ascii="Calibri" w:hAnsi="Calibri" w:cs="Calibri"/>
              </w:rPr>
            </w:pPr>
          </w:p>
        </w:tc>
      </w:tr>
      <w:bookmarkEnd w:id="16"/>
      <w:bookmarkEnd w:id="17"/>
    </w:tbl>
    <w:p w:rsidR="00B802FC" w:rsidRDefault="00B802FC" w14:paraId="712268FA" w14:textId="77777777"/>
    <w:p w:rsidR="00436F24" w:rsidP="00436F24" w:rsidRDefault="005E50FD" w14:paraId="59E94F30" w14:textId="5EC9D13E">
      <w:pPr>
        <w:pStyle w:val="Heading2"/>
      </w:pPr>
      <w:bookmarkStart w:name="_Toc198223614" w:id="18"/>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9"/>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20"/>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1"/>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2"/>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3"/>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4"/>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5"/>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6"/>
      <w:r>
        <w:lastRenderedPageBreak/>
        <w:t>Domain 4: Carbon Credits</w:t>
      </w:r>
      <w:bookmarkEnd w:id="26"/>
    </w:p>
    <w:p w:rsidRPr="001C0769" w:rsidR="001C0769" w:rsidP="001C0769" w:rsidRDefault="000428FA" w14:paraId="25C35D8C" w14:textId="52BD279F">
      <w:pPr>
        <w:pStyle w:val="Heading2"/>
      </w:pPr>
      <w:bookmarkStart w:name="_Toc198223623" w:id="27"/>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vAlign w:val="center"/>
          </w:tcPr>
          <w:p w:rsidRPr="00CF2E7C" w:rsidR="00092534" w:rsidP="00CF2E7C" w:rsidRDefault="00092534" w14:paraId="7AD6A409" w14:textId="77777777">
            <w:pPr>
              <w:rPr>
                <w:rFonts w:ascii="Calibri" w:hAnsi="Calibri" w:cs="Calibri"/>
              </w:rPr>
            </w:pPr>
          </w:p>
        </w:tc>
      </w:tr>
      <w:tr w:rsidRPr="006840C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8"/>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8"/>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9"/>
      <w:r>
        <w:t xml:space="preserve">Section </w:t>
      </w:r>
      <w:r w:rsidR="00B20D58">
        <w:t>4</w:t>
      </w:r>
      <w:r>
        <w:t xml:space="preserve">.3: </w:t>
      </w:r>
      <w:r w:rsidRPr="009C4D10" w:rsidR="001C0769">
        <w:t>Governance of Carbon Credits</w:t>
      </w:r>
      <w:bookmarkEnd w:id="29"/>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0"/>
            <w:bookmarkEnd w:id="30"/>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1"/>
      <w:r>
        <w:rPr>
          <w:lang w:eastAsia="en-GB"/>
        </w:rPr>
        <w:t xml:space="preserve">Section 4.4: </w:t>
      </w:r>
      <w:r w:rsidR="00F01EE6">
        <w:rPr>
          <w:lang w:eastAsia="en-GB"/>
        </w:rPr>
        <w:t>Policy goal-specific questions</w:t>
      </w:r>
      <w:bookmarkEnd w:id="31"/>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2"/>
      <w:bookmarkStart w:name="_Toc198223627" w:id="33"/>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4"/>
      <w:bookmarkStart w:name="_Toc198223628" w:id="35"/>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6"/>
      <w:bookmarkStart w:name="_Toc198223629" w:id="37"/>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8"/>
      <w:bookmarkStart w:name="_Toc198223630" w:id="39"/>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40"/>
      <w:r w:rsidRPr="009C4D10">
        <w:lastRenderedPageBreak/>
        <w:t>Domain 5: Prudential Tools</w:t>
      </w:r>
      <w:bookmarkEnd w:id="40"/>
    </w:p>
    <w:p w:rsidRPr="00AF3FC6" w:rsidR="00AF3FC6" w:rsidP="00AF3FC6" w:rsidRDefault="00455E1B" w14:paraId="3E16913F" w14:textId="21F34EF6">
      <w:pPr>
        <w:pStyle w:val="Heading2"/>
      </w:pPr>
      <w:bookmarkStart w:name="_Toc198223632" w:id="41"/>
      <w:r>
        <w:t xml:space="preserve">Section 5.1: </w:t>
      </w:r>
      <w:r w:rsidRPr="009C4D10" w:rsidR="00AF3FC6">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vAlign w:val="center"/>
          </w:tcPr>
          <w:p w:rsidRPr="00CF2E7C" w:rsidR="00DD292A" w:rsidP="00CF2E7C" w:rsidRDefault="00DD292A" w14:paraId="5A15330D" w14:textId="77777777">
            <w:pPr>
              <w:rPr>
                <w:rFonts w:ascii="Calibri" w:hAnsi="Calibri" w:cs="Calibri"/>
              </w:rPr>
            </w:pPr>
          </w:p>
        </w:tc>
      </w:tr>
      <w:tr w:rsidRPr="006840C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2"/>
      <w:r>
        <w:rPr>
          <w:lang w:val="en-SG"/>
        </w:rPr>
        <w:lastRenderedPageBreak/>
        <w:t xml:space="preserve">Section 5.2: </w:t>
      </w:r>
      <w:r w:rsidRPr="009C4D10" w:rsidR="00FE66B1">
        <w:rPr>
          <w:lang w:val="en-SG"/>
        </w:rPr>
        <w:t>Policy goal or function of the policy tool</w:t>
      </w:r>
      <w:bookmarkEnd w:id="42"/>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3"/>
      <w:bookmarkStart w:name="_Toc198223634" w:id="44"/>
      <w:bookmarkEnd w:id="43"/>
      <w:r>
        <w:t>Section 5.</w:t>
      </w:r>
      <w:r w:rsidR="00455E1B">
        <w:t>2.</w:t>
      </w:r>
      <w:r>
        <w:t xml:space="preserve">1: </w:t>
      </w:r>
      <w:r w:rsidRPr="009C4D10" w:rsidR="00B24E10">
        <w:t>Risk management and governance</w:t>
      </w:r>
      <w:bookmarkEnd w:id="44"/>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5"/>
            <w:bookmarkEnd w:id="45"/>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6"/>
      <w:bookmarkStart w:name="_Toc198223635" w:id="47"/>
      <w:bookmarkEnd w:id="46"/>
      <w:r>
        <w:t>Section 5.2</w:t>
      </w:r>
      <w:r w:rsidR="00455E1B">
        <w:t>.2</w:t>
      </w:r>
      <w:r>
        <w:t xml:space="preserve">: </w:t>
      </w:r>
      <w:r w:rsidRPr="009C4D10">
        <w:t>Scenario analysis and stress-testing</w:t>
      </w:r>
      <w:bookmarkEnd w:id="47"/>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8"/>
            <w:bookmarkEnd w:id="48"/>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9"/>
      <w:bookmarkStart w:name="_Toc198223636" w:id="50"/>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1"/>
            <w:bookmarkEnd w:id="51"/>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2"/>
      <w:r>
        <w:t xml:space="preserve">Section 5.3: </w:t>
      </w:r>
      <w:r w:rsidR="009E1E61">
        <w:t>Standards and Frameworks</w:t>
      </w:r>
      <w:bookmarkEnd w:id="52"/>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2">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3"/>
      <w:r>
        <w:lastRenderedPageBreak/>
        <w:t>Domain 6: Methane Abatement</w:t>
      </w:r>
      <w:bookmarkEnd w:id="53"/>
    </w:p>
    <w:p w:rsidR="002F0752" w:rsidP="002F0752" w:rsidRDefault="002F0752" w14:paraId="144EDD37" w14:textId="77777777">
      <w:pPr>
        <w:pStyle w:val="Heading2"/>
        <w:rPr>
          <w:rFonts w:ascii="Calibri" w:hAnsi="Calibri" w:eastAsia="Calibri" w:cs="Calibri"/>
          <w:color w:val="000000" w:themeColor="text1"/>
        </w:rPr>
      </w:pPr>
      <w:bookmarkStart w:name="_Toc198223639" w:id="54"/>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vAlign w:val="center"/>
          </w:tcPr>
          <w:p w:rsidRPr="00CF2E7C" w:rsidR="002F0752" w:rsidP="00CF2E7C" w:rsidRDefault="002F0752" w14:paraId="63712777" w14:textId="77777777">
            <w:pPr>
              <w:rPr>
                <w:rFonts w:ascii="Calibri" w:hAnsi="Calibri" w:cs="Calibri"/>
              </w:rPr>
            </w:pPr>
          </w:p>
        </w:tc>
      </w:tr>
      <w:tr w:rsidRPr="006840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5"/>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6"/>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7"/>
      <w:r>
        <w:rPr>
          <w:rFonts w:eastAsia="Arial"/>
        </w:rPr>
        <w:t xml:space="preserve">Section 6.4: </w:t>
      </w:r>
      <w:r w:rsidRPr="26567C6B">
        <w:rPr>
          <w:rFonts w:eastAsia="Arial"/>
        </w:rPr>
        <w:t>Source-specific rules</w:t>
      </w:r>
      <w:bookmarkEnd w:id="5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8"/>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9"/>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0"/>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3"/>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C4A6C" w:rsidP="00874E39" w:rsidRDefault="00FC4A6C" w14:paraId="48DB0EF3" w14:textId="77777777">
      <w:r>
        <w:separator/>
      </w:r>
    </w:p>
  </w:endnote>
  <w:endnote w:type="continuationSeparator" w:id="0">
    <w:p w:rsidR="00FC4A6C" w:rsidP="00874E39" w:rsidRDefault="00FC4A6C" w14:paraId="2C575794" w14:textId="77777777">
      <w:r>
        <w:continuationSeparator/>
      </w:r>
    </w:p>
  </w:endnote>
  <w:endnote w:type="continuationNotice" w:id="1">
    <w:p w:rsidR="00FC4A6C" w:rsidRDefault="00FC4A6C" w14:paraId="5DE40F6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C4A6C" w:rsidP="00874E39" w:rsidRDefault="00FC4A6C" w14:paraId="62542588" w14:textId="77777777">
      <w:r>
        <w:separator/>
      </w:r>
    </w:p>
  </w:footnote>
  <w:footnote w:type="continuationSeparator" w:id="0">
    <w:p w:rsidR="00FC4A6C" w:rsidP="00874E39" w:rsidRDefault="00FC4A6C" w14:paraId="54E7CC10" w14:textId="77777777">
      <w:r>
        <w:continuationSeparator/>
      </w:r>
    </w:p>
  </w:footnote>
  <w:footnote w:type="continuationNotice" w:id="1">
    <w:p w:rsidR="00FC4A6C" w:rsidRDefault="00FC4A6C" w14:paraId="363F9DD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BA641C9"/>
    <w:multiLevelType w:val="hybridMultilevel"/>
    <w:tmpl w:val="063A58E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830555020">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1DE"/>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ACA"/>
    <w:rsid w:val="000A0D34"/>
    <w:rsid w:val="000A1365"/>
    <w:rsid w:val="000A1490"/>
    <w:rsid w:val="000A1828"/>
    <w:rsid w:val="000A1917"/>
    <w:rsid w:val="000A1C25"/>
    <w:rsid w:val="000A3C19"/>
    <w:rsid w:val="000A50AD"/>
    <w:rsid w:val="000A560D"/>
    <w:rsid w:val="000A59F1"/>
    <w:rsid w:val="000A653C"/>
    <w:rsid w:val="000A6B31"/>
    <w:rsid w:val="000A6F11"/>
    <w:rsid w:val="000A7C9B"/>
    <w:rsid w:val="000B0734"/>
    <w:rsid w:val="000B15C7"/>
    <w:rsid w:val="000B1BF7"/>
    <w:rsid w:val="000B323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37D"/>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8EA"/>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B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342"/>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5CE"/>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E7B"/>
    <w:rsid w:val="0039625A"/>
    <w:rsid w:val="00396D5C"/>
    <w:rsid w:val="003A0C73"/>
    <w:rsid w:val="003A144F"/>
    <w:rsid w:val="003A2976"/>
    <w:rsid w:val="003A2E5E"/>
    <w:rsid w:val="003A4A9F"/>
    <w:rsid w:val="003A4F75"/>
    <w:rsid w:val="003A52E3"/>
    <w:rsid w:val="003A5B03"/>
    <w:rsid w:val="003B0628"/>
    <w:rsid w:val="003B1042"/>
    <w:rsid w:val="003B1985"/>
    <w:rsid w:val="003B3C0F"/>
    <w:rsid w:val="003B4DD6"/>
    <w:rsid w:val="003B4F81"/>
    <w:rsid w:val="003B539A"/>
    <w:rsid w:val="003B5B6C"/>
    <w:rsid w:val="003B66F6"/>
    <w:rsid w:val="003B7854"/>
    <w:rsid w:val="003C125F"/>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14D"/>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AC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960"/>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33C"/>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AB"/>
    <w:rsid w:val="004E4B4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11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27E"/>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23F"/>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9D9"/>
    <w:rsid w:val="0064134E"/>
    <w:rsid w:val="00641484"/>
    <w:rsid w:val="0064177B"/>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815"/>
    <w:rsid w:val="006746D5"/>
    <w:rsid w:val="0067532A"/>
    <w:rsid w:val="00675752"/>
    <w:rsid w:val="006770B7"/>
    <w:rsid w:val="006801E4"/>
    <w:rsid w:val="0068221C"/>
    <w:rsid w:val="00683A9D"/>
    <w:rsid w:val="00683DB5"/>
    <w:rsid w:val="006840CD"/>
    <w:rsid w:val="0068420A"/>
    <w:rsid w:val="00685A4F"/>
    <w:rsid w:val="006878AC"/>
    <w:rsid w:val="00690B2A"/>
    <w:rsid w:val="006936EF"/>
    <w:rsid w:val="006943E9"/>
    <w:rsid w:val="00694A4F"/>
    <w:rsid w:val="00695F64"/>
    <w:rsid w:val="00696548"/>
    <w:rsid w:val="00696D68"/>
    <w:rsid w:val="00697298"/>
    <w:rsid w:val="006A00E0"/>
    <w:rsid w:val="006A103A"/>
    <w:rsid w:val="006A2168"/>
    <w:rsid w:val="006A21C6"/>
    <w:rsid w:val="006A308E"/>
    <w:rsid w:val="006A3518"/>
    <w:rsid w:val="006A4C24"/>
    <w:rsid w:val="006A4C9F"/>
    <w:rsid w:val="006A63B5"/>
    <w:rsid w:val="006A6B4C"/>
    <w:rsid w:val="006B07E5"/>
    <w:rsid w:val="006B0C0B"/>
    <w:rsid w:val="006B2C46"/>
    <w:rsid w:val="006B4FC8"/>
    <w:rsid w:val="006B51AD"/>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94F"/>
    <w:rsid w:val="007055F4"/>
    <w:rsid w:val="00705948"/>
    <w:rsid w:val="00705ADE"/>
    <w:rsid w:val="007066F4"/>
    <w:rsid w:val="00707D5E"/>
    <w:rsid w:val="00707F76"/>
    <w:rsid w:val="00711F61"/>
    <w:rsid w:val="007130D4"/>
    <w:rsid w:val="00714103"/>
    <w:rsid w:val="00714E43"/>
    <w:rsid w:val="00717C33"/>
    <w:rsid w:val="007201B1"/>
    <w:rsid w:val="00722B14"/>
    <w:rsid w:val="007245FC"/>
    <w:rsid w:val="007250B7"/>
    <w:rsid w:val="00726D8B"/>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291"/>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4AB6"/>
    <w:rsid w:val="008455E5"/>
    <w:rsid w:val="0084684C"/>
    <w:rsid w:val="008472B1"/>
    <w:rsid w:val="00850568"/>
    <w:rsid w:val="0085060B"/>
    <w:rsid w:val="00850F36"/>
    <w:rsid w:val="008510EC"/>
    <w:rsid w:val="00851476"/>
    <w:rsid w:val="00853253"/>
    <w:rsid w:val="00854B57"/>
    <w:rsid w:val="00854CE2"/>
    <w:rsid w:val="0085591B"/>
    <w:rsid w:val="00855A4A"/>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BC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B06"/>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6D0"/>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1D4"/>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5669"/>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F6B"/>
    <w:rsid w:val="00994653"/>
    <w:rsid w:val="00994C5F"/>
    <w:rsid w:val="00994E6E"/>
    <w:rsid w:val="00996526"/>
    <w:rsid w:val="009967D9"/>
    <w:rsid w:val="00996A43"/>
    <w:rsid w:val="00996EFE"/>
    <w:rsid w:val="009A0851"/>
    <w:rsid w:val="009A0AE1"/>
    <w:rsid w:val="009A1530"/>
    <w:rsid w:val="009A15B3"/>
    <w:rsid w:val="009A2F67"/>
    <w:rsid w:val="009A322B"/>
    <w:rsid w:val="009A4BC9"/>
    <w:rsid w:val="009A50A0"/>
    <w:rsid w:val="009A5C4E"/>
    <w:rsid w:val="009A639D"/>
    <w:rsid w:val="009A66B8"/>
    <w:rsid w:val="009A6D57"/>
    <w:rsid w:val="009B2D9B"/>
    <w:rsid w:val="009B5B65"/>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CE3"/>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6AB"/>
    <w:rsid w:val="00AA4965"/>
    <w:rsid w:val="00AA6DDB"/>
    <w:rsid w:val="00AB0830"/>
    <w:rsid w:val="00AB0A78"/>
    <w:rsid w:val="00AB2CCC"/>
    <w:rsid w:val="00AB4F2C"/>
    <w:rsid w:val="00AB64F8"/>
    <w:rsid w:val="00AB698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367"/>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ADF"/>
    <w:rsid w:val="00B12EFD"/>
    <w:rsid w:val="00B131A4"/>
    <w:rsid w:val="00B13CB3"/>
    <w:rsid w:val="00B14AD4"/>
    <w:rsid w:val="00B14C45"/>
    <w:rsid w:val="00B15489"/>
    <w:rsid w:val="00B16155"/>
    <w:rsid w:val="00B171FD"/>
    <w:rsid w:val="00B17588"/>
    <w:rsid w:val="00B17FBC"/>
    <w:rsid w:val="00B200F9"/>
    <w:rsid w:val="00B20D58"/>
    <w:rsid w:val="00B21FC7"/>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14A"/>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859"/>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84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058"/>
    <w:rsid w:val="00D63522"/>
    <w:rsid w:val="00D637B2"/>
    <w:rsid w:val="00D6386F"/>
    <w:rsid w:val="00D66DDD"/>
    <w:rsid w:val="00D67EB7"/>
    <w:rsid w:val="00D70367"/>
    <w:rsid w:val="00D7554F"/>
    <w:rsid w:val="00D765DD"/>
    <w:rsid w:val="00D76854"/>
    <w:rsid w:val="00D80A45"/>
    <w:rsid w:val="00D80C46"/>
    <w:rsid w:val="00D818DF"/>
    <w:rsid w:val="00D825A8"/>
    <w:rsid w:val="00D83201"/>
    <w:rsid w:val="00D8337E"/>
    <w:rsid w:val="00D8345D"/>
    <w:rsid w:val="00D87651"/>
    <w:rsid w:val="00D87F53"/>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89"/>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AC7"/>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C68"/>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37E"/>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15D1"/>
    <w:rsid w:val="00F5203B"/>
    <w:rsid w:val="00F526AD"/>
    <w:rsid w:val="00F527B7"/>
    <w:rsid w:val="00F52E73"/>
    <w:rsid w:val="00F52F6F"/>
    <w:rsid w:val="00F53828"/>
    <w:rsid w:val="00F5517E"/>
    <w:rsid w:val="00F60B38"/>
    <w:rsid w:val="00F6108E"/>
    <w:rsid w:val="00F6174D"/>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17F"/>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A6C"/>
    <w:rsid w:val="00FC582C"/>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9F3"/>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4E1402"/>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638030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54615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24105524/https://www.epure.org/press-release/european-ethanol-producers-raise-legal-challenge-to-eu-maritime-legislation/" TargetMode="External" Id="rId18" /><Relationship Type="http://schemas.openxmlformats.org/officeDocument/2006/relationships/customXml" Target="../customXml/item3.xml" Id="rId3" /><Relationship Type="http://schemas.openxmlformats.org/officeDocument/2006/relationships/hyperlink" Target="https://www.bis.org/fsi/fsibriefs18.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24102733/https://eur-lex.europa.eu/eli/reg/2023/1805/oj/eng"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24112826/https://eur-lex.europa.eu/legal-content/EN/TXT/?uri=CELEX%3A02015R0757-20250101"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eader" Target="header2.xml" Id="rId23" /><Relationship Type="http://schemas.openxmlformats.org/officeDocument/2006/relationships/endnotes" Target="endnotes.xml" Id="rId10" /><Relationship Type="http://schemas.openxmlformats.org/officeDocument/2006/relationships/hyperlink" Target="https://web.archive.org/web/20250724112420/https://eur-lex.europa.eu/legal-content/EN/TXT/?uri=CELEX%3A02008R0765-20210716"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fsb.org/uploads/P131022-1.pdf" TargetMode="Externa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2006/documentManagement/types"/>
    <ds:schemaRef ds:uri="a84edb6d-cf86-4b2b-8a62-38e962ed6fbe"/>
    <ds:schemaRef ds:uri="http://purl.org/dc/elements/1.1/"/>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68</cp:revision>
  <cp:lastPrinted>2025-03-21T00:14:00Z</cp:lastPrinted>
  <dcterms:created xsi:type="dcterms:W3CDTF">2025-06-19T12:24:00Z</dcterms:created>
  <dcterms:modified xsi:type="dcterms:W3CDTF">2025-07-24T13:45:31Z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